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8606F">
      <w:pPr>
        <w:tabs>
          <w:tab w:val="right" w:pos="9639"/>
        </w:tabs>
        <w:spacing w:after="0"/>
        <w:rPr>
          <w:rFonts w:hint="default" w:ascii="Arial" w:hAnsi="Arial" w:cs="Times New Roman" w:eastAsiaTheme="minorEastAsia"/>
          <w:b/>
          <w:i/>
          <w:sz w:val="28"/>
          <w:highlight w:val="none"/>
          <w:lang w:val="en-US" w:eastAsia="zh-CN" w:bidi="ar-SA"/>
        </w:rPr>
      </w:pPr>
      <w:r>
        <w:rPr>
          <w:rFonts w:ascii="Arial" w:hAnsi="Arial" w:cs="Times New Roman" w:eastAsiaTheme="minorEastAsia"/>
          <w:b/>
          <w:sz w:val="24"/>
          <w:highlight w:val="none"/>
          <w:lang w:val="en-GB" w:eastAsia="en-US" w:bidi="ar-SA"/>
        </w:rPr>
        <w:t>3GPP TSG SA WG2 Meeting #1</w:t>
      </w:r>
      <w:r>
        <w:rPr>
          <w:rFonts w:hint="eastAsia" w:ascii="Arial" w:hAnsi="Arial" w:cs="Times New Roman" w:eastAsiaTheme="minorEastAsia"/>
          <w:b/>
          <w:sz w:val="24"/>
          <w:highlight w:val="none"/>
          <w:lang w:val="en-US" w:eastAsia="zh-CN" w:bidi="ar-SA"/>
        </w:rPr>
        <w:t>66</w:t>
      </w:r>
      <w:r>
        <w:rPr>
          <w:rFonts w:ascii="Arial" w:hAnsi="Arial" w:cs="Times New Roman" w:eastAsiaTheme="minorEastAsia"/>
          <w:b/>
          <w:i/>
          <w:sz w:val="28"/>
          <w:highlight w:val="none"/>
          <w:lang w:val="en-GB" w:eastAsia="en-US" w:bidi="ar-SA"/>
        </w:rPr>
        <w:tab/>
      </w:r>
      <w:r>
        <w:rPr>
          <w:rFonts w:hint="eastAsia" w:ascii="Arial" w:hAnsi="Arial" w:cs="Times New Roman" w:eastAsiaTheme="minorEastAsia"/>
          <w:b/>
          <w:i/>
          <w:sz w:val="28"/>
          <w:highlight w:val="none"/>
          <w:lang w:val="en-GB" w:eastAsia="en-US" w:bidi="ar-SA"/>
        </w:rPr>
        <w:t>S2-2411602</w:t>
      </w:r>
    </w:p>
    <w:p w14:paraId="1888EC54">
      <w:pPr>
        <w:spacing w:after="120"/>
        <w:outlineLvl w:val="0"/>
        <w:rPr>
          <w:rFonts w:ascii="Arial" w:hAnsi="Arial" w:cs="Times New Roman" w:eastAsiaTheme="minorEastAsia"/>
          <w:b/>
          <w:sz w:val="24"/>
          <w:highlight w:val="none"/>
          <w:lang w:val="en-US" w:eastAsia="zh-CN" w:bidi="ar-SA"/>
        </w:rPr>
      </w:pPr>
      <w:r>
        <w:rPr>
          <w:rFonts w:hint="eastAsia" w:ascii="Arial" w:hAnsi="Arial" w:cs="Times New Roman" w:eastAsiaTheme="minorEastAsia"/>
          <w:b/>
          <w:sz w:val="24"/>
          <w:highlight w:val="none"/>
          <w:lang w:val="en-US" w:eastAsia="zh-CN" w:bidi="ar-SA"/>
        </w:rPr>
        <w:t>18 - 22 November, 2024, Orlando, US</w:t>
      </w:r>
      <w:r>
        <w:rPr>
          <w:rFonts w:hint="eastAsia" w:ascii="Arial" w:hAnsi="Arial" w:cs="Times New Roman" w:eastAsiaTheme="minorEastAsia"/>
          <w:b/>
          <w:sz w:val="24"/>
          <w:highlight w:val="none"/>
          <w:lang w:val="en-US" w:eastAsia="zh-CN" w:bidi="ar-SA"/>
        </w:rPr>
        <w:tab/>
      </w:r>
      <w:r>
        <w:rPr>
          <w:rFonts w:hint="eastAsia" w:ascii="Arial" w:hAnsi="Arial" w:cs="Times New Roman" w:eastAsiaTheme="minorEastAsia"/>
          <w:b/>
          <w:sz w:val="24"/>
          <w:highlight w:val="none"/>
          <w:lang w:val="en-US" w:eastAsia="zh-CN" w:bidi="ar-SA"/>
        </w:rPr>
        <w:tab/>
      </w:r>
      <w:r>
        <w:rPr>
          <w:rFonts w:hint="eastAsia" w:ascii="Arial" w:hAnsi="Arial" w:cs="Times New Roman" w:eastAsiaTheme="minorEastAsia"/>
          <w:b/>
          <w:sz w:val="24"/>
          <w:highlight w:val="none"/>
          <w:lang w:val="en-US" w:eastAsia="zh-CN" w:bidi="ar-SA"/>
        </w:rPr>
        <w:t xml:space="preserve">      </w:t>
      </w:r>
      <w:r>
        <w:rPr>
          <w:rFonts w:ascii="Arial" w:hAnsi="Arial" w:cs="Times New Roman" w:eastAsiaTheme="minorEastAsia"/>
          <w:b/>
          <w:sz w:val="24"/>
          <w:highlight w:val="none"/>
          <w:lang w:val="de-DE" w:eastAsia="en-US" w:bidi="ar-SA"/>
        </w:rPr>
        <w:t xml:space="preserve">                                        </w:t>
      </w:r>
      <w:r>
        <w:rPr>
          <w:rFonts w:hint="eastAsia" w:ascii="Arial" w:hAnsi="Arial" w:cs="Arial" w:eastAsiaTheme="minorEastAsia"/>
          <w:b/>
          <w:bCs/>
          <w:color w:val="0000FF"/>
          <w:highlight w:val="none"/>
          <w:lang w:val="en-US" w:eastAsia="zh-CN" w:bidi="ar-SA"/>
        </w:rPr>
        <w:t>(</w:t>
      </w:r>
      <w:r>
        <w:rPr>
          <w:rFonts w:ascii="Arial" w:hAnsi="Arial" w:cs="Arial" w:eastAsiaTheme="minorEastAsia"/>
          <w:b/>
          <w:bCs/>
          <w:color w:val="0000FF"/>
          <w:highlight w:val="none"/>
          <w:lang w:val="en-GB" w:eastAsia="en-US" w:bidi="ar-SA"/>
        </w:rPr>
        <w:t>revision S2-241</w:t>
      </w:r>
      <w:r>
        <w:rPr>
          <w:rFonts w:hint="eastAsia" w:ascii="Arial" w:hAnsi="Arial" w:cs="Arial"/>
          <w:b/>
          <w:bCs/>
          <w:color w:val="0000FF"/>
          <w:highlight w:val="none"/>
          <w:lang w:val="en-US" w:eastAsia="zh-CN" w:bidi="ar-SA"/>
        </w:rPr>
        <w:t>xxxx</w:t>
      </w:r>
      <w:r>
        <w:rPr>
          <w:rFonts w:ascii="Arial" w:hAnsi="Arial" w:cs="Arial" w:eastAsiaTheme="minorEastAsia"/>
          <w:b/>
          <w:bCs/>
          <w:color w:val="0000FF"/>
          <w:highlight w:val="none"/>
          <w:lang w:val="en-GB" w:eastAsia="en-US" w:bidi="ar-SA"/>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003A9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DBC8656">
            <w:pPr>
              <w:pStyle w:val="82"/>
              <w:spacing w:after="0"/>
              <w:jc w:val="right"/>
              <w:rPr>
                <w:i/>
                <w:highlight w:val="none"/>
              </w:rPr>
            </w:pPr>
            <w:r>
              <w:rPr>
                <w:i/>
                <w:sz w:val="14"/>
                <w:highlight w:val="none"/>
              </w:rPr>
              <w:t>CR-Form-v12.2</w:t>
            </w:r>
          </w:p>
        </w:tc>
      </w:tr>
      <w:tr w14:paraId="3556E4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988A804">
            <w:pPr>
              <w:pStyle w:val="82"/>
              <w:spacing w:after="0"/>
              <w:jc w:val="center"/>
              <w:rPr>
                <w:highlight w:val="none"/>
              </w:rPr>
            </w:pPr>
            <w:r>
              <w:rPr>
                <w:b/>
                <w:sz w:val="32"/>
                <w:highlight w:val="none"/>
              </w:rPr>
              <w:t>CHANGE REQUEST</w:t>
            </w:r>
          </w:p>
        </w:tc>
      </w:tr>
      <w:tr w14:paraId="5C650AD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2AB4B6">
            <w:pPr>
              <w:pStyle w:val="82"/>
              <w:spacing w:after="0"/>
              <w:rPr>
                <w:sz w:val="8"/>
                <w:szCs w:val="8"/>
                <w:highlight w:val="none"/>
              </w:rPr>
            </w:pPr>
          </w:p>
        </w:tc>
      </w:tr>
      <w:tr w14:paraId="10D7634B">
        <w:tblPrEx>
          <w:tblCellMar>
            <w:top w:w="0" w:type="dxa"/>
            <w:left w:w="42" w:type="dxa"/>
            <w:bottom w:w="0" w:type="dxa"/>
            <w:right w:w="42" w:type="dxa"/>
          </w:tblCellMar>
        </w:tblPrEx>
        <w:tc>
          <w:tcPr>
            <w:tcW w:w="142" w:type="dxa"/>
            <w:tcBorders>
              <w:left w:val="single" w:color="auto" w:sz="4" w:space="0"/>
            </w:tcBorders>
          </w:tcPr>
          <w:p w14:paraId="355D5BB7">
            <w:pPr>
              <w:pStyle w:val="82"/>
              <w:spacing w:after="0"/>
              <w:jc w:val="right"/>
              <w:rPr>
                <w:highlight w:val="none"/>
              </w:rPr>
            </w:pPr>
          </w:p>
        </w:tc>
        <w:tc>
          <w:tcPr>
            <w:tcW w:w="1559" w:type="dxa"/>
            <w:shd w:val="pct30" w:color="FFFF00" w:fill="auto"/>
          </w:tcPr>
          <w:p w14:paraId="7A893F1F">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23.228</w:t>
            </w:r>
            <w:r>
              <w:rPr>
                <w:b/>
                <w:sz w:val="28"/>
                <w:highlight w:val="none"/>
              </w:rPr>
              <w:fldChar w:fldCharType="end"/>
            </w:r>
          </w:p>
        </w:tc>
        <w:tc>
          <w:tcPr>
            <w:tcW w:w="709" w:type="dxa"/>
          </w:tcPr>
          <w:p w14:paraId="6AD9CEA8">
            <w:pPr>
              <w:pStyle w:val="82"/>
              <w:spacing w:after="0"/>
              <w:jc w:val="center"/>
              <w:rPr>
                <w:highlight w:val="none"/>
              </w:rPr>
            </w:pPr>
            <w:r>
              <w:rPr>
                <w:b/>
                <w:sz w:val="28"/>
                <w:highlight w:val="none"/>
              </w:rPr>
              <w:t>CR</w:t>
            </w:r>
          </w:p>
        </w:tc>
        <w:tc>
          <w:tcPr>
            <w:tcW w:w="1276" w:type="dxa"/>
            <w:shd w:val="pct30" w:color="FFFF00" w:fill="auto"/>
          </w:tcPr>
          <w:p w14:paraId="30C6E855">
            <w:pPr>
              <w:pStyle w:val="82"/>
              <w:spacing w:after="0"/>
              <w:jc w:val="center"/>
              <w:rPr>
                <w:rFonts w:hint="default" w:eastAsiaTheme="minorEastAsia"/>
                <w:sz w:val="28"/>
                <w:szCs w:val="28"/>
                <w:highlight w:val="none"/>
                <w:lang w:val="en-US" w:eastAsia="zh-CN"/>
              </w:rPr>
            </w:pPr>
            <w:r>
              <w:rPr>
                <w:rFonts w:hint="eastAsia" w:ascii="Arial" w:hAnsi="Arial"/>
                <w:b/>
                <w:sz w:val="28"/>
                <w:szCs w:val="28"/>
                <w:highlight w:val="none"/>
                <w:lang w:val="en-US" w:eastAsia="zh-CN"/>
              </w:rPr>
              <w:t>1508</w:t>
            </w:r>
          </w:p>
        </w:tc>
        <w:tc>
          <w:tcPr>
            <w:tcW w:w="709" w:type="dxa"/>
          </w:tcPr>
          <w:p w14:paraId="254E9275">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9EC002">
            <w:pPr>
              <w:pStyle w:val="82"/>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rFonts w:hint="eastAsia"/>
                <w:b/>
                <w:sz w:val="28"/>
                <w:highlight w:val="none"/>
                <w:lang w:eastAsia="zh-CN"/>
              </w:rPr>
              <w:t>-</w:t>
            </w:r>
            <w:r>
              <w:rPr>
                <w:b/>
                <w:sz w:val="28"/>
                <w:highlight w:val="none"/>
                <w:lang w:eastAsia="zh-CN"/>
              </w:rPr>
              <w:fldChar w:fldCharType="end"/>
            </w:r>
          </w:p>
        </w:tc>
        <w:tc>
          <w:tcPr>
            <w:tcW w:w="2410" w:type="dxa"/>
          </w:tcPr>
          <w:p w14:paraId="0262EEFA">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AAB36B0">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14:paraId="04436E89">
            <w:pPr>
              <w:pStyle w:val="82"/>
              <w:spacing w:after="0"/>
              <w:rPr>
                <w:highlight w:val="none"/>
              </w:rPr>
            </w:pPr>
          </w:p>
        </w:tc>
      </w:tr>
      <w:tr w14:paraId="156435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FA4BA0">
            <w:pPr>
              <w:pStyle w:val="82"/>
              <w:spacing w:after="0"/>
              <w:rPr>
                <w:highlight w:val="none"/>
              </w:rPr>
            </w:pPr>
          </w:p>
        </w:tc>
      </w:tr>
      <w:tr w14:paraId="2379A708">
        <w:tblPrEx>
          <w:tblCellMar>
            <w:top w:w="0" w:type="dxa"/>
            <w:left w:w="42" w:type="dxa"/>
            <w:bottom w:w="0" w:type="dxa"/>
            <w:right w:w="42" w:type="dxa"/>
          </w:tblCellMar>
        </w:tblPrEx>
        <w:tc>
          <w:tcPr>
            <w:tcW w:w="9641" w:type="dxa"/>
            <w:gridSpan w:val="9"/>
            <w:tcBorders>
              <w:top w:val="single" w:color="auto" w:sz="4" w:space="0"/>
            </w:tcBorders>
          </w:tcPr>
          <w:p w14:paraId="3B4FD741">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24"/>
                <w:rFonts w:cs="Arial"/>
                <w:b/>
                <w:i/>
                <w:color w:val="FF0000"/>
                <w:highlight w:val="none"/>
              </w:rPr>
              <w:t>HE</w:t>
            </w:r>
            <w:bookmarkStart w:id="0" w:name="_Hlt497126619"/>
            <w:r>
              <w:rPr>
                <w:rStyle w:val="24"/>
                <w:rFonts w:cs="Arial"/>
                <w:b/>
                <w:i/>
                <w:color w:val="FF0000"/>
                <w:highlight w:val="none"/>
              </w:rPr>
              <w:t>L</w:t>
            </w:r>
            <w:bookmarkEnd w:id="0"/>
            <w:r>
              <w:rPr>
                <w:rStyle w:val="24"/>
                <w:rFonts w:cs="Arial"/>
                <w:b/>
                <w:i/>
                <w:color w:val="FF0000"/>
                <w:highlight w:val="none"/>
              </w:rPr>
              <w:t>P</w:t>
            </w:r>
            <w:r>
              <w:rPr>
                <w:rStyle w:val="2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24"/>
                <w:rFonts w:cs="Arial"/>
                <w:i/>
                <w:highlight w:val="none"/>
              </w:rPr>
              <w:t>http://www.3gpp.org/Change-Requests</w:t>
            </w:r>
            <w:r>
              <w:rPr>
                <w:rStyle w:val="24"/>
                <w:rFonts w:cs="Arial"/>
                <w:i/>
                <w:highlight w:val="none"/>
              </w:rPr>
              <w:fldChar w:fldCharType="end"/>
            </w:r>
            <w:r>
              <w:rPr>
                <w:rFonts w:cs="Arial"/>
                <w:i/>
                <w:highlight w:val="none"/>
              </w:rPr>
              <w:t>.</w:t>
            </w:r>
          </w:p>
        </w:tc>
      </w:tr>
      <w:tr w14:paraId="7A1014D3">
        <w:tblPrEx>
          <w:tblCellMar>
            <w:top w:w="0" w:type="dxa"/>
            <w:left w:w="42" w:type="dxa"/>
            <w:bottom w:w="0" w:type="dxa"/>
            <w:right w:w="42" w:type="dxa"/>
          </w:tblCellMar>
        </w:tblPrEx>
        <w:tc>
          <w:tcPr>
            <w:tcW w:w="9641" w:type="dxa"/>
            <w:gridSpan w:val="9"/>
          </w:tcPr>
          <w:p w14:paraId="1239CF49">
            <w:pPr>
              <w:pStyle w:val="82"/>
              <w:spacing w:after="0"/>
              <w:rPr>
                <w:sz w:val="8"/>
                <w:szCs w:val="8"/>
                <w:highlight w:val="none"/>
              </w:rPr>
            </w:pPr>
          </w:p>
        </w:tc>
      </w:tr>
    </w:tbl>
    <w:p w14:paraId="0611CEEF">
      <w:pPr>
        <w:rPr>
          <w:sz w:val="8"/>
          <w:szCs w:val="8"/>
          <w:highlight w:val="none"/>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9E1FC86">
        <w:tblPrEx>
          <w:tblCellMar>
            <w:top w:w="0" w:type="dxa"/>
            <w:left w:w="42" w:type="dxa"/>
            <w:bottom w:w="0" w:type="dxa"/>
            <w:right w:w="42" w:type="dxa"/>
          </w:tblCellMar>
        </w:tblPrEx>
        <w:tc>
          <w:tcPr>
            <w:tcW w:w="2835" w:type="dxa"/>
          </w:tcPr>
          <w:p w14:paraId="43CBEBB3">
            <w:pPr>
              <w:pStyle w:val="82"/>
              <w:tabs>
                <w:tab w:val="right" w:pos="2751"/>
              </w:tabs>
              <w:spacing w:after="0"/>
              <w:rPr>
                <w:b/>
                <w:i/>
                <w:highlight w:val="none"/>
              </w:rPr>
            </w:pPr>
            <w:r>
              <w:rPr>
                <w:b/>
                <w:i/>
                <w:highlight w:val="none"/>
              </w:rPr>
              <w:t>Proposed change affects:</w:t>
            </w:r>
          </w:p>
        </w:tc>
        <w:tc>
          <w:tcPr>
            <w:tcW w:w="1418" w:type="dxa"/>
          </w:tcPr>
          <w:p w14:paraId="66F0A607">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C74F328">
            <w:pPr>
              <w:pStyle w:val="82"/>
              <w:spacing w:after="0"/>
              <w:jc w:val="center"/>
              <w:rPr>
                <w:b/>
                <w:caps/>
                <w:highlight w:val="none"/>
              </w:rPr>
            </w:pPr>
          </w:p>
        </w:tc>
        <w:tc>
          <w:tcPr>
            <w:tcW w:w="709" w:type="dxa"/>
            <w:tcBorders>
              <w:left w:val="single" w:color="auto" w:sz="4" w:space="0"/>
            </w:tcBorders>
          </w:tcPr>
          <w:p w14:paraId="208D732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6151CD6">
            <w:pPr>
              <w:pStyle w:val="82"/>
              <w:spacing w:after="0"/>
              <w:jc w:val="center"/>
              <w:rPr>
                <w:b/>
                <w:caps/>
                <w:highlight w:val="none"/>
              </w:rPr>
            </w:pPr>
          </w:p>
        </w:tc>
        <w:tc>
          <w:tcPr>
            <w:tcW w:w="2126" w:type="dxa"/>
          </w:tcPr>
          <w:p w14:paraId="7674C17C">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FC4E74">
            <w:pPr>
              <w:pStyle w:val="82"/>
              <w:spacing w:after="0"/>
              <w:jc w:val="center"/>
              <w:rPr>
                <w:b/>
                <w:caps/>
                <w:highlight w:val="none"/>
              </w:rPr>
            </w:pPr>
          </w:p>
        </w:tc>
        <w:tc>
          <w:tcPr>
            <w:tcW w:w="1418" w:type="dxa"/>
            <w:tcBorders>
              <w:left w:val="nil"/>
            </w:tcBorders>
          </w:tcPr>
          <w:p w14:paraId="54C13B1C">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6A3EC3F">
            <w:pPr>
              <w:pStyle w:val="82"/>
              <w:spacing w:after="0"/>
              <w:jc w:val="center"/>
              <w:rPr>
                <w:b/>
                <w:bCs/>
                <w:caps/>
                <w:highlight w:val="none"/>
              </w:rPr>
            </w:pPr>
            <w:r>
              <w:rPr>
                <w:rFonts w:hint="eastAsia"/>
                <w:b/>
                <w:bCs/>
                <w:caps/>
                <w:highlight w:val="none"/>
                <w:lang w:eastAsia="zh-CN"/>
              </w:rPr>
              <w:t>X</w:t>
            </w:r>
          </w:p>
        </w:tc>
      </w:tr>
    </w:tbl>
    <w:p w14:paraId="5B0CE3F3">
      <w:pPr>
        <w:rPr>
          <w:sz w:val="8"/>
          <w:szCs w:val="8"/>
          <w:highlight w:val="none"/>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1117E">
        <w:tblPrEx>
          <w:tblCellMar>
            <w:top w:w="0" w:type="dxa"/>
            <w:left w:w="42" w:type="dxa"/>
            <w:bottom w:w="0" w:type="dxa"/>
            <w:right w:w="42" w:type="dxa"/>
          </w:tblCellMar>
        </w:tblPrEx>
        <w:tc>
          <w:tcPr>
            <w:tcW w:w="9640" w:type="dxa"/>
            <w:gridSpan w:val="11"/>
          </w:tcPr>
          <w:p w14:paraId="3B9E0389">
            <w:pPr>
              <w:pStyle w:val="82"/>
              <w:spacing w:after="0"/>
              <w:rPr>
                <w:sz w:val="8"/>
                <w:szCs w:val="8"/>
                <w:highlight w:val="none"/>
              </w:rPr>
            </w:pPr>
          </w:p>
        </w:tc>
      </w:tr>
      <w:tr w14:paraId="760DB3AB">
        <w:tblPrEx>
          <w:tblCellMar>
            <w:top w:w="0" w:type="dxa"/>
            <w:left w:w="42" w:type="dxa"/>
            <w:bottom w:w="0" w:type="dxa"/>
            <w:right w:w="42" w:type="dxa"/>
          </w:tblCellMar>
        </w:tblPrEx>
        <w:tc>
          <w:tcPr>
            <w:tcW w:w="1843" w:type="dxa"/>
            <w:tcBorders>
              <w:top w:val="single" w:color="auto" w:sz="4" w:space="0"/>
              <w:left w:val="single" w:color="auto" w:sz="4" w:space="0"/>
            </w:tcBorders>
          </w:tcPr>
          <w:p w14:paraId="4B681F0D">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7856C1B">
            <w:pPr>
              <w:pStyle w:val="82"/>
              <w:spacing w:after="0"/>
              <w:ind w:left="100"/>
              <w:rPr>
                <w:rFonts w:hint="default"/>
                <w:highlight w:val="none"/>
                <w:lang w:val="en-US"/>
              </w:rPr>
            </w:pPr>
            <w:r>
              <w:rPr>
                <w:highlight w:val="none"/>
              </w:rPr>
              <w:t>Update to</w:t>
            </w:r>
            <w:r>
              <w:rPr>
                <w:rFonts w:hint="eastAsia"/>
                <w:highlight w:val="none"/>
                <w:lang w:val="en-US" w:eastAsia="zh-CN"/>
              </w:rPr>
              <w:t xml:space="preserve"> </w:t>
            </w:r>
            <w:r>
              <w:rPr>
                <w:highlight w:val="none"/>
              </w:rPr>
              <w:t xml:space="preserve">Bootstrap </w:t>
            </w:r>
            <w:r>
              <w:rPr>
                <w:rFonts w:hint="eastAsia"/>
                <w:highlight w:val="none"/>
                <w:lang w:val="en-US" w:eastAsia="zh-CN"/>
              </w:rPr>
              <w:t xml:space="preserve">and Application </w:t>
            </w:r>
            <w:r>
              <w:rPr>
                <w:highlight w:val="none"/>
              </w:rPr>
              <w:t xml:space="preserve">Data Channel Setup </w:t>
            </w:r>
            <w:r>
              <w:rPr>
                <w:rFonts w:hint="eastAsia"/>
                <w:highlight w:val="none"/>
                <w:lang w:val="en-US" w:eastAsia="zh-CN"/>
              </w:rPr>
              <w:t>Signalling Procedure for data channel interworking</w:t>
            </w:r>
          </w:p>
        </w:tc>
      </w:tr>
      <w:tr w14:paraId="19F260E7">
        <w:tblPrEx>
          <w:tblCellMar>
            <w:top w:w="0" w:type="dxa"/>
            <w:left w:w="42" w:type="dxa"/>
            <w:bottom w:w="0" w:type="dxa"/>
            <w:right w:w="42" w:type="dxa"/>
          </w:tblCellMar>
        </w:tblPrEx>
        <w:tc>
          <w:tcPr>
            <w:tcW w:w="1843" w:type="dxa"/>
            <w:tcBorders>
              <w:left w:val="single" w:color="auto" w:sz="4" w:space="0"/>
            </w:tcBorders>
          </w:tcPr>
          <w:p w14:paraId="7E3D1445">
            <w:pPr>
              <w:pStyle w:val="82"/>
              <w:spacing w:after="0"/>
              <w:rPr>
                <w:b/>
                <w:i/>
                <w:sz w:val="8"/>
                <w:szCs w:val="8"/>
                <w:highlight w:val="none"/>
              </w:rPr>
            </w:pPr>
          </w:p>
        </w:tc>
        <w:tc>
          <w:tcPr>
            <w:tcW w:w="7797" w:type="dxa"/>
            <w:gridSpan w:val="10"/>
            <w:tcBorders>
              <w:right w:val="single" w:color="auto" w:sz="4" w:space="0"/>
            </w:tcBorders>
          </w:tcPr>
          <w:p w14:paraId="7E2CB261">
            <w:pPr>
              <w:pStyle w:val="82"/>
              <w:spacing w:after="0"/>
              <w:rPr>
                <w:sz w:val="8"/>
                <w:szCs w:val="8"/>
                <w:highlight w:val="none"/>
              </w:rPr>
            </w:pPr>
          </w:p>
        </w:tc>
      </w:tr>
      <w:tr w14:paraId="143C4DFC">
        <w:tblPrEx>
          <w:tblCellMar>
            <w:top w:w="0" w:type="dxa"/>
            <w:left w:w="42" w:type="dxa"/>
            <w:bottom w:w="0" w:type="dxa"/>
            <w:right w:w="42" w:type="dxa"/>
          </w:tblCellMar>
        </w:tblPrEx>
        <w:tc>
          <w:tcPr>
            <w:tcW w:w="1843" w:type="dxa"/>
            <w:tcBorders>
              <w:left w:val="single" w:color="auto" w:sz="4" w:space="0"/>
            </w:tcBorders>
          </w:tcPr>
          <w:p w14:paraId="0D1589FD">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77EA25">
            <w:pPr>
              <w:pStyle w:val="82"/>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SA2</w:t>
            </w:r>
            <w:r>
              <w:rPr>
                <w:highlight w:val="none"/>
              </w:rPr>
              <w:fldChar w:fldCharType="end"/>
            </w:r>
          </w:p>
        </w:tc>
      </w:tr>
      <w:tr w14:paraId="3FB8C1A0">
        <w:tblPrEx>
          <w:tblCellMar>
            <w:top w:w="0" w:type="dxa"/>
            <w:left w:w="42" w:type="dxa"/>
            <w:bottom w:w="0" w:type="dxa"/>
            <w:right w:w="42" w:type="dxa"/>
          </w:tblCellMar>
        </w:tblPrEx>
        <w:tc>
          <w:tcPr>
            <w:tcW w:w="1843" w:type="dxa"/>
            <w:tcBorders>
              <w:left w:val="single" w:color="auto" w:sz="4" w:space="0"/>
            </w:tcBorders>
          </w:tcPr>
          <w:p w14:paraId="4D894FF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D908668">
            <w:pPr>
              <w:pStyle w:val="82"/>
              <w:spacing w:after="0"/>
              <w:ind w:left="100"/>
              <w:rPr>
                <w:highlight w:val="none"/>
              </w:rPr>
            </w:pPr>
            <w:r>
              <w:rPr>
                <w:rFonts w:hint="eastAsia"/>
                <w:highlight w:val="none"/>
                <w:lang w:val="en-US" w:eastAsia="zh-CN"/>
              </w:rPr>
              <w:t xml:space="preserve">CMCC, </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t>Huawei, HiSilicon</w:t>
            </w:r>
            <w:r>
              <w:rPr>
                <w:highlight w:val="none"/>
              </w:rPr>
              <w:fldChar w:fldCharType="end"/>
            </w:r>
          </w:p>
        </w:tc>
      </w:tr>
      <w:tr w14:paraId="12C83FE3">
        <w:tblPrEx>
          <w:tblCellMar>
            <w:top w:w="0" w:type="dxa"/>
            <w:left w:w="42" w:type="dxa"/>
            <w:bottom w:w="0" w:type="dxa"/>
            <w:right w:w="42" w:type="dxa"/>
          </w:tblCellMar>
        </w:tblPrEx>
        <w:tc>
          <w:tcPr>
            <w:tcW w:w="1843" w:type="dxa"/>
            <w:tcBorders>
              <w:left w:val="single" w:color="auto" w:sz="4" w:space="0"/>
            </w:tcBorders>
          </w:tcPr>
          <w:p w14:paraId="23343077">
            <w:pPr>
              <w:pStyle w:val="82"/>
              <w:spacing w:after="0"/>
              <w:rPr>
                <w:b/>
                <w:i/>
                <w:sz w:val="8"/>
                <w:szCs w:val="8"/>
                <w:highlight w:val="none"/>
              </w:rPr>
            </w:pPr>
          </w:p>
        </w:tc>
        <w:tc>
          <w:tcPr>
            <w:tcW w:w="7797" w:type="dxa"/>
            <w:gridSpan w:val="10"/>
            <w:tcBorders>
              <w:right w:val="single" w:color="auto" w:sz="4" w:space="0"/>
            </w:tcBorders>
          </w:tcPr>
          <w:p w14:paraId="1AF39354">
            <w:pPr>
              <w:pStyle w:val="82"/>
              <w:spacing w:after="0"/>
              <w:rPr>
                <w:sz w:val="8"/>
                <w:szCs w:val="8"/>
                <w:highlight w:val="none"/>
              </w:rPr>
            </w:pPr>
          </w:p>
        </w:tc>
      </w:tr>
      <w:tr w14:paraId="2EE5D748">
        <w:tblPrEx>
          <w:tblCellMar>
            <w:top w:w="0" w:type="dxa"/>
            <w:left w:w="42" w:type="dxa"/>
            <w:bottom w:w="0" w:type="dxa"/>
            <w:right w:w="42" w:type="dxa"/>
          </w:tblCellMar>
        </w:tblPrEx>
        <w:tc>
          <w:tcPr>
            <w:tcW w:w="1843" w:type="dxa"/>
            <w:tcBorders>
              <w:left w:val="single" w:color="auto" w:sz="4" w:space="0"/>
            </w:tcBorders>
          </w:tcPr>
          <w:p w14:paraId="52BDCED4">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378E140E">
            <w:pPr>
              <w:pStyle w:val="82"/>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NG_RTC</w:t>
            </w:r>
            <w:r>
              <w:rPr>
                <w:rFonts w:hint="eastAsia"/>
                <w:highlight w:val="none"/>
                <w:lang w:eastAsia="zh-CN"/>
              </w:rPr>
              <w:t>_</w:t>
            </w:r>
            <w:r>
              <w:rPr>
                <w:highlight w:val="none"/>
                <w:lang w:eastAsia="zh-CN"/>
              </w:rPr>
              <w:t>Ph2</w:t>
            </w:r>
            <w:r>
              <w:rPr>
                <w:highlight w:val="none"/>
                <w:lang w:eastAsia="zh-CN"/>
              </w:rPr>
              <w:fldChar w:fldCharType="end"/>
            </w:r>
          </w:p>
        </w:tc>
        <w:tc>
          <w:tcPr>
            <w:tcW w:w="567" w:type="dxa"/>
            <w:tcBorders>
              <w:left w:val="nil"/>
            </w:tcBorders>
          </w:tcPr>
          <w:p w14:paraId="5FF7144F">
            <w:pPr>
              <w:pStyle w:val="82"/>
              <w:spacing w:after="0"/>
              <w:ind w:right="100"/>
              <w:rPr>
                <w:highlight w:val="none"/>
              </w:rPr>
            </w:pPr>
          </w:p>
        </w:tc>
        <w:tc>
          <w:tcPr>
            <w:tcW w:w="1417" w:type="dxa"/>
            <w:gridSpan w:val="3"/>
            <w:tcBorders>
              <w:left w:val="nil"/>
            </w:tcBorders>
          </w:tcPr>
          <w:p w14:paraId="751094E5">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32C2CD14">
            <w:pPr>
              <w:pStyle w:val="82"/>
              <w:spacing w:after="0"/>
              <w:ind w:left="100"/>
              <w:rPr>
                <w:rFonts w:hint="default" w:eastAsiaTheme="minorEastAsia"/>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2024-</w:t>
            </w:r>
            <w:r>
              <w:rPr>
                <w:rFonts w:hint="eastAsia"/>
                <w:highlight w:val="none"/>
                <w:lang w:val="en-US" w:eastAsia="zh-CN"/>
              </w:rPr>
              <w:t>11</w:t>
            </w:r>
            <w:r>
              <w:rPr>
                <w:highlight w:val="none"/>
              </w:rPr>
              <w:t>-</w:t>
            </w:r>
            <w:r>
              <w:rPr>
                <w:highlight w:val="none"/>
              </w:rPr>
              <w:fldChar w:fldCharType="end"/>
            </w:r>
            <w:r>
              <w:rPr>
                <w:rFonts w:hint="eastAsia"/>
                <w:highlight w:val="none"/>
                <w:lang w:val="en-US" w:eastAsia="zh-CN"/>
              </w:rPr>
              <w:t>07</w:t>
            </w:r>
          </w:p>
        </w:tc>
      </w:tr>
      <w:tr w14:paraId="2D082F49">
        <w:tblPrEx>
          <w:tblCellMar>
            <w:top w:w="0" w:type="dxa"/>
            <w:left w:w="42" w:type="dxa"/>
            <w:bottom w:w="0" w:type="dxa"/>
            <w:right w:w="42" w:type="dxa"/>
          </w:tblCellMar>
        </w:tblPrEx>
        <w:trPr>
          <w:trHeight w:val="134" w:hRule="atLeast"/>
        </w:trPr>
        <w:tc>
          <w:tcPr>
            <w:tcW w:w="1843" w:type="dxa"/>
            <w:tcBorders>
              <w:left w:val="single" w:color="auto" w:sz="4" w:space="0"/>
            </w:tcBorders>
          </w:tcPr>
          <w:p w14:paraId="552DC4EF">
            <w:pPr>
              <w:pStyle w:val="82"/>
              <w:spacing w:after="0"/>
              <w:rPr>
                <w:b/>
                <w:i/>
                <w:sz w:val="8"/>
                <w:szCs w:val="8"/>
                <w:highlight w:val="none"/>
              </w:rPr>
            </w:pPr>
          </w:p>
        </w:tc>
        <w:tc>
          <w:tcPr>
            <w:tcW w:w="1986" w:type="dxa"/>
            <w:gridSpan w:val="4"/>
          </w:tcPr>
          <w:p w14:paraId="7F78C2B3">
            <w:pPr>
              <w:pStyle w:val="82"/>
              <w:spacing w:after="0"/>
              <w:rPr>
                <w:sz w:val="8"/>
                <w:szCs w:val="8"/>
                <w:highlight w:val="none"/>
              </w:rPr>
            </w:pPr>
          </w:p>
        </w:tc>
        <w:tc>
          <w:tcPr>
            <w:tcW w:w="2267" w:type="dxa"/>
            <w:gridSpan w:val="2"/>
          </w:tcPr>
          <w:p w14:paraId="0BFACABC">
            <w:pPr>
              <w:pStyle w:val="82"/>
              <w:spacing w:after="0"/>
              <w:rPr>
                <w:sz w:val="8"/>
                <w:szCs w:val="8"/>
                <w:highlight w:val="none"/>
              </w:rPr>
            </w:pPr>
          </w:p>
        </w:tc>
        <w:tc>
          <w:tcPr>
            <w:tcW w:w="1417" w:type="dxa"/>
            <w:gridSpan w:val="3"/>
          </w:tcPr>
          <w:p w14:paraId="13AA105B">
            <w:pPr>
              <w:pStyle w:val="82"/>
              <w:spacing w:after="0"/>
              <w:rPr>
                <w:sz w:val="8"/>
                <w:szCs w:val="8"/>
                <w:highlight w:val="none"/>
              </w:rPr>
            </w:pPr>
          </w:p>
        </w:tc>
        <w:tc>
          <w:tcPr>
            <w:tcW w:w="2127" w:type="dxa"/>
            <w:tcBorders>
              <w:right w:val="single" w:color="auto" w:sz="4" w:space="0"/>
            </w:tcBorders>
          </w:tcPr>
          <w:p w14:paraId="347B54F1">
            <w:pPr>
              <w:pStyle w:val="82"/>
              <w:spacing w:after="0"/>
              <w:rPr>
                <w:sz w:val="8"/>
                <w:szCs w:val="8"/>
                <w:highlight w:val="none"/>
              </w:rPr>
            </w:pPr>
          </w:p>
        </w:tc>
      </w:tr>
      <w:tr w14:paraId="082DAEF1">
        <w:tblPrEx>
          <w:tblCellMar>
            <w:top w:w="0" w:type="dxa"/>
            <w:left w:w="42" w:type="dxa"/>
            <w:bottom w:w="0" w:type="dxa"/>
            <w:right w:w="42" w:type="dxa"/>
          </w:tblCellMar>
        </w:tblPrEx>
        <w:trPr>
          <w:cantSplit/>
        </w:trPr>
        <w:tc>
          <w:tcPr>
            <w:tcW w:w="1843" w:type="dxa"/>
            <w:tcBorders>
              <w:left w:val="single" w:color="auto" w:sz="4" w:space="0"/>
            </w:tcBorders>
          </w:tcPr>
          <w:p w14:paraId="673BD879">
            <w:pPr>
              <w:pStyle w:val="82"/>
              <w:tabs>
                <w:tab w:val="right" w:pos="1759"/>
              </w:tabs>
              <w:spacing w:after="0"/>
              <w:rPr>
                <w:b/>
                <w:i/>
                <w:highlight w:val="none"/>
              </w:rPr>
            </w:pPr>
            <w:r>
              <w:rPr>
                <w:b/>
                <w:i/>
                <w:highlight w:val="none"/>
              </w:rPr>
              <w:t>Category:</w:t>
            </w:r>
          </w:p>
        </w:tc>
        <w:tc>
          <w:tcPr>
            <w:tcW w:w="851" w:type="dxa"/>
            <w:shd w:val="pct30" w:color="FFFF00" w:fill="auto"/>
          </w:tcPr>
          <w:p w14:paraId="7A463AF9">
            <w:pPr>
              <w:pStyle w:val="82"/>
              <w:spacing w:after="0"/>
              <w:ind w:left="100" w:right="-609"/>
              <w:rPr>
                <w:rFonts w:hint="eastAsia" w:eastAsiaTheme="minorEastAsia"/>
                <w:b/>
                <w:highlight w:val="none"/>
                <w:lang w:eastAsia="zh-CN"/>
              </w:rPr>
            </w:pPr>
            <w:r>
              <w:rPr>
                <w:rFonts w:hint="eastAsia"/>
                <w:highlight w:val="none"/>
                <w:lang w:val="en-US" w:eastAsia="zh-CN"/>
              </w:rPr>
              <w:t>F</w:t>
            </w:r>
          </w:p>
        </w:tc>
        <w:tc>
          <w:tcPr>
            <w:tcW w:w="3402" w:type="dxa"/>
            <w:gridSpan w:val="5"/>
            <w:tcBorders>
              <w:left w:val="nil"/>
            </w:tcBorders>
          </w:tcPr>
          <w:p w14:paraId="0163EC11">
            <w:pPr>
              <w:pStyle w:val="82"/>
              <w:spacing w:after="0"/>
              <w:rPr>
                <w:highlight w:val="none"/>
              </w:rPr>
            </w:pPr>
          </w:p>
        </w:tc>
        <w:tc>
          <w:tcPr>
            <w:tcW w:w="1417" w:type="dxa"/>
            <w:gridSpan w:val="3"/>
            <w:tcBorders>
              <w:left w:val="nil"/>
            </w:tcBorders>
          </w:tcPr>
          <w:p w14:paraId="3FC8E329">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54F5E92A">
            <w:pPr>
              <w:pStyle w:val="82"/>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7C6403C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7F31B9F">
            <w:pPr>
              <w:pStyle w:val="82"/>
              <w:spacing w:after="0"/>
              <w:rPr>
                <w:b/>
                <w:i/>
                <w:highlight w:val="none"/>
              </w:rPr>
            </w:pPr>
          </w:p>
        </w:tc>
        <w:tc>
          <w:tcPr>
            <w:tcW w:w="4677" w:type="dxa"/>
            <w:gridSpan w:val="8"/>
            <w:tcBorders>
              <w:bottom w:val="single" w:color="auto" w:sz="4" w:space="0"/>
            </w:tcBorders>
          </w:tcPr>
          <w:p w14:paraId="431C3209">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B94B786">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24"/>
                <w:sz w:val="18"/>
                <w:highlight w:val="none"/>
              </w:rPr>
              <w:t>TR 21.900</w:t>
            </w:r>
            <w:r>
              <w:rPr>
                <w:rStyle w:val="2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2C0D7DB3">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304858E">
        <w:tblPrEx>
          <w:tblCellMar>
            <w:top w:w="0" w:type="dxa"/>
            <w:left w:w="42" w:type="dxa"/>
            <w:bottom w:w="0" w:type="dxa"/>
            <w:right w:w="42" w:type="dxa"/>
          </w:tblCellMar>
        </w:tblPrEx>
        <w:tc>
          <w:tcPr>
            <w:tcW w:w="1843" w:type="dxa"/>
          </w:tcPr>
          <w:p w14:paraId="26F1C821">
            <w:pPr>
              <w:pStyle w:val="82"/>
              <w:spacing w:after="0"/>
              <w:rPr>
                <w:b/>
                <w:i/>
                <w:sz w:val="8"/>
                <w:szCs w:val="8"/>
                <w:highlight w:val="none"/>
              </w:rPr>
            </w:pPr>
          </w:p>
        </w:tc>
        <w:tc>
          <w:tcPr>
            <w:tcW w:w="7797" w:type="dxa"/>
            <w:gridSpan w:val="10"/>
          </w:tcPr>
          <w:p w14:paraId="76858E59">
            <w:pPr>
              <w:pStyle w:val="82"/>
              <w:spacing w:after="0"/>
              <w:rPr>
                <w:sz w:val="8"/>
                <w:szCs w:val="8"/>
                <w:highlight w:val="none"/>
              </w:rPr>
            </w:pPr>
          </w:p>
        </w:tc>
      </w:tr>
      <w:tr w14:paraId="5A060D9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4FB196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278041A">
            <w:pPr>
              <w:pStyle w:val="82"/>
              <w:spacing w:after="0"/>
              <w:ind w:left="100"/>
              <w:rPr>
                <w:rFonts w:eastAsia="宋体"/>
                <w:highlight w:val="none"/>
                <w:lang w:val="en-US" w:eastAsia="zh-CN"/>
              </w:rPr>
            </w:pPr>
            <w:r>
              <w:rPr>
                <w:highlight w:val="none"/>
                <w:lang w:eastAsia="zh-CN"/>
              </w:rPr>
              <w:t>3GPP</w:t>
            </w:r>
            <w:r>
              <w:rPr>
                <w:highlight w:val="none"/>
                <w:lang w:val="en-US" w:eastAsia="zh-CN"/>
              </w:rPr>
              <w:t> </w:t>
            </w:r>
            <w:r>
              <w:rPr>
                <w:highlight w:val="none"/>
                <w:lang w:eastAsia="zh-CN"/>
              </w:rPr>
              <w:t>TS</w:t>
            </w:r>
            <w:r>
              <w:rPr>
                <w:highlight w:val="none"/>
                <w:lang w:val="en-US" w:eastAsia="zh-CN"/>
              </w:rPr>
              <w:t> </w:t>
            </w:r>
            <w:r>
              <w:rPr>
                <w:highlight w:val="none"/>
                <w:lang w:eastAsia="zh-CN"/>
              </w:rPr>
              <w:t>23.</w:t>
            </w:r>
            <w:r>
              <w:rPr>
                <w:rFonts w:hint="eastAsia"/>
                <w:highlight w:val="none"/>
                <w:lang w:val="en-US" w:eastAsia="zh-CN"/>
              </w:rPr>
              <w:t xml:space="preserve">228 </w:t>
            </w:r>
            <w:r>
              <w:rPr>
                <w:rFonts w:hint="eastAsia"/>
                <w:highlight w:val="none"/>
                <w:lang w:eastAsia="zh-CN"/>
              </w:rPr>
              <w:t>C</w:t>
            </w:r>
            <w:r>
              <w:rPr>
                <w:highlight w:val="none"/>
                <w:lang w:eastAsia="zh-CN"/>
              </w:rPr>
              <w:t xml:space="preserve">lause </w:t>
            </w:r>
            <w:r>
              <w:rPr>
                <w:rFonts w:hint="eastAsia"/>
                <w:highlight w:val="none"/>
                <w:lang w:val="en-US" w:eastAsia="zh-CN"/>
              </w:rPr>
              <w:t xml:space="preserve">AC.7.9 </w:t>
            </w:r>
            <w:r>
              <w:rPr>
                <w:highlight w:val="none"/>
                <w:lang w:eastAsia="zh-CN"/>
              </w:rPr>
              <w:t>concludes</w:t>
            </w:r>
            <w:r>
              <w:rPr>
                <w:rFonts w:hint="eastAsia"/>
                <w:highlight w:val="none"/>
                <w:lang w:val="en-US" w:eastAsia="zh-CN"/>
              </w:rPr>
              <w:t xml:space="preserve"> the solution on </w:t>
            </w:r>
            <w:r>
              <w:rPr>
                <w:highlight w:val="none"/>
              </w:rPr>
              <w:t xml:space="preserve">Bootstrap </w:t>
            </w:r>
            <w:r>
              <w:rPr>
                <w:rFonts w:hint="eastAsia"/>
                <w:highlight w:val="none"/>
                <w:lang w:val="en-US" w:eastAsia="zh-CN"/>
              </w:rPr>
              <w:t xml:space="preserve">and Application </w:t>
            </w:r>
            <w:r>
              <w:rPr>
                <w:highlight w:val="none"/>
              </w:rPr>
              <w:t xml:space="preserve">Data Channel Setup </w:t>
            </w:r>
            <w:r>
              <w:rPr>
                <w:rFonts w:hint="eastAsia" w:eastAsia="宋体"/>
                <w:highlight w:val="none"/>
                <w:lang w:val="en-US" w:eastAsia="zh-CN"/>
              </w:rPr>
              <w:t>and the description on s</w:t>
            </w:r>
            <w:r>
              <w:rPr>
                <w:highlight w:val="none"/>
              </w:rPr>
              <w:t xml:space="preserve">ignalling </w:t>
            </w:r>
            <w:r>
              <w:rPr>
                <w:rFonts w:hint="eastAsia"/>
                <w:highlight w:val="none"/>
                <w:lang w:val="en-US" w:eastAsia="zh-CN"/>
              </w:rPr>
              <w:t>p</w:t>
            </w:r>
            <w:r>
              <w:rPr>
                <w:highlight w:val="none"/>
              </w:rPr>
              <w:t>rocedure</w:t>
            </w:r>
            <w:r>
              <w:rPr>
                <w:rFonts w:hint="eastAsia" w:eastAsia="宋体"/>
                <w:highlight w:val="none"/>
                <w:lang w:val="en-US" w:eastAsia="zh-CN"/>
              </w:rPr>
              <w:t xml:space="preserve"> need to be updated and refined.</w:t>
            </w:r>
          </w:p>
        </w:tc>
      </w:tr>
      <w:tr w14:paraId="34452272">
        <w:tblPrEx>
          <w:tblCellMar>
            <w:top w:w="0" w:type="dxa"/>
            <w:left w:w="42" w:type="dxa"/>
            <w:bottom w:w="0" w:type="dxa"/>
            <w:right w:w="42" w:type="dxa"/>
          </w:tblCellMar>
        </w:tblPrEx>
        <w:tc>
          <w:tcPr>
            <w:tcW w:w="2694" w:type="dxa"/>
            <w:gridSpan w:val="2"/>
            <w:tcBorders>
              <w:left w:val="single" w:color="auto" w:sz="4" w:space="0"/>
            </w:tcBorders>
          </w:tcPr>
          <w:p w14:paraId="6530A81E">
            <w:pPr>
              <w:pStyle w:val="82"/>
              <w:spacing w:after="0"/>
              <w:rPr>
                <w:b/>
                <w:i/>
                <w:sz w:val="8"/>
                <w:szCs w:val="8"/>
                <w:highlight w:val="none"/>
              </w:rPr>
            </w:pPr>
          </w:p>
        </w:tc>
        <w:tc>
          <w:tcPr>
            <w:tcW w:w="6946" w:type="dxa"/>
            <w:gridSpan w:val="9"/>
            <w:tcBorders>
              <w:right w:val="single" w:color="auto" w:sz="4" w:space="0"/>
            </w:tcBorders>
          </w:tcPr>
          <w:p w14:paraId="637DD197">
            <w:pPr>
              <w:pStyle w:val="82"/>
              <w:spacing w:after="0"/>
              <w:rPr>
                <w:sz w:val="8"/>
                <w:szCs w:val="8"/>
                <w:highlight w:val="none"/>
              </w:rPr>
            </w:pPr>
          </w:p>
        </w:tc>
      </w:tr>
      <w:tr w14:paraId="611C2967">
        <w:tblPrEx>
          <w:tblCellMar>
            <w:top w:w="0" w:type="dxa"/>
            <w:left w:w="42" w:type="dxa"/>
            <w:bottom w:w="0" w:type="dxa"/>
            <w:right w:w="42" w:type="dxa"/>
          </w:tblCellMar>
        </w:tblPrEx>
        <w:tc>
          <w:tcPr>
            <w:tcW w:w="2694" w:type="dxa"/>
            <w:gridSpan w:val="2"/>
            <w:tcBorders>
              <w:left w:val="single" w:color="auto" w:sz="4" w:space="0"/>
            </w:tcBorders>
          </w:tcPr>
          <w:p w14:paraId="0BF3EB44">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581E6FC">
            <w:pPr>
              <w:pStyle w:val="82"/>
              <w:spacing w:after="0"/>
              <w:ind w:left="100"/>
              <w:rPr>
                <w:rFonts w:hint="eastAsia" w:eastAsia="宋体"/>
                <w:highlight w:val="none"/>
                <w:lang w:val="en-US" w:eastAsia="zh-CN"/>
              </w:rPr>
            </w:pPr>
            <w:r>
              <w:rPr>
                <w:rFonts w:hint="eastAsia"/>
                <w:highlight w:val="none"/>
                <w:lang w:val="en-US" w:eastAsia="zh-CN"/>
              </w:rPr>
              <w:t xml:space="preserve">Provide the updated procedure for the case </w:t>
            </w:r>
            <w:r>
              <w:rPr>
                <w:highlight w:val="none"/>
              </w:rPr>
              <w:t xml:space="preserve">Bootstrap </w:t>
            </w:r>
            <w:r>
              <w:rPr>
                <w:rFonts w:hint="eastAsia"/>
                <w:highlight w:val="none"/>
                <w:lang w:val="en-US" w:eastAsia="zh-CN"/>
              </w:rPr>
              <w:t xml:space="preserve">and Application </w:t>
            </w:r>
            <w:r>
              <w:rPr>
                <w:highlight w:val="none"/>
              </w:rPr>
              <w:t>Data Channel Setup</w:t>
            </w:r>
            <w:r>
              <w:rPr>
                <w:rFonts w:hint="eastAsia" w:eastAsia="宋体"/>
                <w:highlight w:val="none"/>
                <w:lang w:val="en-US" w:eastAsia="zh-CN"/>
              </w:rPr>
              <w:t xml:space="preserve">, </w:t>
            </w:r>
            <w:r>
              <w:rPr>
                <w:rFonts w:hint="eastAsia"/>
                <w:highlight w:val="none"/>
                <w:lang w:val="en-US" w:eastAsia="zh-CN"/>
              </w:rPr>
              <w:t xml:space="preserve">when </w:t>
            </w:r>
            <w:r>
              <w:rPr>
                <w:rFonts w:eastAsia="宋体"/>
                <w:highlight w:val="none"/>
              </w:rPr>
              <w:t>the originating DCMTSI UE initiates an IMS DC session to the terminating MTSI UE</w:t>
            </w:r>
            <w:r>
              <w:rPr>
                <w:rFonts w:hint="eastAsia" w:eastAsia="宋体"/>
                <w:highlight w:val="none"/>
                <w:lang w:val="en-US" w:eastAsia="zh-CN"/>
              </w:rPr>
              <w:t>.</w:t>
            </w:r>
          </w:p>
          <w:p w14:paraId="0AF8F7EC">
            <w:pPr>
              <w:pStyle w:val="82"/>
              <w:spacing w:after="0"/>
              <w:ind w:left="100"/>
              <w:rPr>
                <w:rFonts w:hint="eastAsia" w:eastAsia="宋体"/>
                <w:highlight w:val="none"/>
                <w:lang w:val="en-US" w:eastAsia="zh-CN"/>
              </w:rPr>
            </w:pPr>
            <w:r>
              <w:t>Add interworking instruction parameter to IMS AS services and MF services, so that DCSF can send interworking instruction from DCSF to MF.</w:t>
            </w:r>
          </w:p>
        </w:tc>
      </w:tr>
      <w:tr w14:paraId="13C2577F">
        <w:tblPrEx>
          <w:tblCellMar>
            <w:top w:w="0" w:type="dxa"/>
            <w:left w:w="42" w:type="dxa"/>
            <w:bottom w:w="0" w:type="dxa"/>
            <w:right w:w="42" w:type="dxa"/>
          </w:tblCellMar>
        </w:tblPrEx>
        <w:tc>
          <w:tcPr>
            <w:tcW w:w="2694" w:type="dxa"/>
            <w:gridSpan w:val="2"/>
            <w:tcBorders>
              <w:left w:val="single" w:color="auto" w:sz="4" w:space="0"/>
            </w:tcBorders>
          </w:tcPr>
          <w:p w14:paraId="0030F44C">
            <w:pPr>
              <w:pStyle w:val="82"/>
              <w:spacing w:after="0"/>
              <w:rPr>
                <w:b/>
                <w:i/>
                <w:sz w:val="8"/>
                <w:szCs w:val="8"/>
                <w:highlight w:val="none"/>
              </w:rPr>
            </w:pPr>
          </w:p>
        </w:tc>
        <w:tc>
          <w:tcPr>
            <w:tcW w:w="6946" w:type="dxa"/>
            <w:gridSpan w:val="9"/>
            <w:tcBorders>
              <w:right w:val="single" w:color="auto" w:sz="4" w:space="0"/>
            </w:tcBorders>
          </w:tcPr>
          <w:p w14:paraId="37B43A81">
            <w:pPr>
              <w:pStyle w:val="82"/>
              <w:spacing w:after="0"/>
              <w:rPr>
                <w:sz w:val="8"/>
                <w:szCs w:val="8"/>
                <w:highlight w:val="none"/>
              </w:rPr>
            </w:pPr>
          </w:p>
        </w:tc>
      </w:tr>
      <w:tr w14:paraId="7BF65F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B38B380">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7F39B4E9">
            <w:pPr>
              <w:pStyle w:val="82"/>
              <w:spacing w:after="0"/>
              <w:ind w:left="100"/>
              <w:rPr>
                <w:highlight w:val="none"/>
                <w:lang w:val="en-US" w:eastAsia="zh-CN"/>
              </w:rPr>
            </w:pPr>
            <w:r>
              <w:rPr>
                <w:rFonts w:hint="eastAsia"/>
                <w:highlight w:val="none"/>
                <w:lang w:val="en-US" w:eastAsia="zh-CN"/>
              </w:rPr>
              <w:t>The signalling procedure is not completed.</w:t>
            </w:r>
          </w:p>
        </w:tc>
      </w:tr>
      <w:tr w14:paraId="568954AC">
        <w:tblPrEx>
          <w:tblCellMar>
            <w:top w:w="0" w:type="dxa"/>
            <w:left w:w="42" w:type="dxa"/>
            <w:bottom w:w="0" w:type="dxa"/>
            <w:right w:w="42" w:type="dxa"/>
          </w:tblCellMar>
        </w:tblPrEx>
        <w:tc>
          <w:tcPr>
            <w:tcW w:w="2694" w:type="dxa"/>
            <w:gridSpan w:val="2"/>
          </w:tcPr>
          <w:p w14:paraId="097F8951">
            <w:pPr>
              <w:pStyle w:val="82"/>
              <w:spacing w:after="0"/>
              <w:rPr>
                <w:b/>
                <w:i/>
                <w:sz w:val="8"/>
                <w:szCs w:val="8"/>
                <w:highlight w:val="none"/>
              </w:rPr>
            </w:pPr>
          </w:p>
        </w:tc>
        <w:tc>
          <w:tcPr>
            <w:tcW w:w="6946" w:type="dxa"/>
            <w:gridSpan w:val="9"/>
          </w:tcPr>
          <w:p w14:paraId="2BCB89D8">
            <w:pPr>
              <w:pStyle w:val="82"/>
              <w:spacing w:after="0"/>
              <w:rPr>
                <w:sz w:val="8"/>
                <w:szCs w:val="8"/>
                <w:highlight w:val="none"/>
              </w:rPr>
            </w:pPr>
          </w:p>
        </w:tc>
      </w:tr>
      <w:tr w14:paraId="596A161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D96A193">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693EDBD">
            <w:pPr>
              <w:pStyle w:val="82"/>
              <w:spacing w:after="0"/>
              <w:ind w:left="100"/>
              <w:rPr>
                <w:rFonts w:hint="default"/>
                <w:highlight w:val="none"/>
                <w:lang w:val="en-US" w:eastAsia="zh-CN"/>
              </w:rPr>
            </w:pPr>
            <w:r>
              <w:rPr>
                <w:rFonts w:hint="eastAsia"/>
                <w:highlight w:val="none"/>
                <w:lang w:val="en-US" w:eastAsia="zh-CN"/>
              </w:rPr>
              <w:t>AC.7.9.1, AC.7.9.2, AC.7.9.3, AA.2.4.3.2, AA.2.5.2.2, AA.2.5.2.3</w:t>
            </w:r>
            <w:bookmarkStart w:id="10" w:name="_GoBack"/>
            <w:bookmarkEnd w:id="10"/>
          </w:p>
        </w:tc>
      </w:tr>
      <w:tr w14:paraId="2929624A">
        <w:tblPrEx>
          <w:tblCellMar>
            <w:top w:w="0" w:type="dxa"/>
            <w:left w:w="42" w:type="dxa"/>
            <w:bottom w:w="0" w:type="dxa"/>
            <w:right w:w="42" w:type="dxa"/>
          </w:tblCellMar>
        </w:tblPrEx>
        <w:tc>
          <w:tcPr>
            <w:tcW w:w="2694" w:type="dxa"/>
            <w:gridSpan w:val="2"/>
            <w:tcBorders>
              <w:left w:val="single" w:color="auto" w:sz="4" w:space="0"/>
            </w:tcBorders>
          </w:tcPr>
          <w:p w14:paraId="7727DF7C">
            <w:pPr>
              <w:pStyle w:val="82"/>
              <w:spacing w:after="0"/>
              <w:rPr>
                <w:b/>
                <w:i/>
                <w:sz w:val="8"/>
                <w:szCs w:val="8"/>
                <w:highlight w:val="none"/>
              </w:rPr>
            </w:pPr>
          </w:p>
        </w:tc>
        <w:tc>
          <w:tcPr>
            <w:tcW w:w="6946" w:type="dxa"/>
            <w:gridSpan w:val="9"/>
            <w:tcBorders>
              <w:right w:val="single" w:color="auto" w:sz="4" w:space="0"/>
            </w:tcBorders>
          </w:tcPr>
          <w:p w14:paraId="5ACFCF14">
            <w:pPr>
              <w:pStyle w:val="82"/>
              <w:spacing w:after="0"/>
              <w:rPr>
                <w:sz w:val="8"/>
                <w:szCs w:val="8"/>
                <w:highlight w:val="none"/>
              </w:rPr>
            </w:pPr>
          </w:p>
        </w:tc>
      </w:tr>
      <w:tr w14:paraId="5E1050C1">
        <w:tblPrEx>
          <w:tblCellMar>
            <w:top w:w="0" w:type="dxa"/>
            <w:left w:w="42" w:type="dxa"/>
            <w:bottom w:w="0" w:type="dxa"/>
            <w:right w:w="42" w:type="dxa"/>
          </w:tblCellMar>
        </w:tblPrEx>
        <w:tc>
          <w:tcPr>
            <w:tcW w:w="2694" w:type="dxa"/>
            <w:gridSpan w:val="2"/>
            <w:tcBorders>
              <w:left w:val="single" w:color="auto" w:sz="4" w:space="0"/>
            </w:tcBorders>
          </w:tcPr>
          <w:p w14:paraId="0C6DA29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73A0A1F">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54557DB">
            <w:pPr>
              <w:pStyle w:val="82"/>
              <w:spacing w:after="0"/>
              <w:jc w:val="center"/>
              <w:rPr>
                <w:b/>
                <w:caps/>
                <w:highlight w:val="none"/>
              </w:rPr>
            </w:pPr>
            <w:r>
              <w:rPr>
                <w:b/>
                <w:caps/>
                <w:highlight w:val="none"/>
              </w:rPr>
              <w:t>N</w:t>
            </w:r>
          </w:p>
        </w:tc>
        <w:tc>
          <w:tcPr>
            <w:tcW w:w="2977" w:type="dxa"/>
            <w:gridSpan w:val="4"/>
          </w:tcPr>
          <w:p w14:paraId="3A5C49FB">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51F66483">
            <w:pPr>
              <w:pStyle w:val="82"/>
              <w:spacing w:after="0"/>
              <w:ind w:left="99"/>
              <w:rPr>
                <w:highlight w:val="none"/>
              </w:rPr>
            </w:pPr>
          </w:p>
        </w:tc>
      </w:tr>
      <w:tr w14:paraId="6766C2B6">
        <w:tblPrEx>
          <w:tblCellMar>
            <w:top w:w="0" w:type="dxa"/>
            <w:left w:w="42" w:type="dxa"/>
            <w:bottom w:w="0" w:type="dxa"/>
            <w:right w:w="42" w:type="dxa"/>
          </w:tblCellMar>
        </w:tblPrEx>
        <w:tc>
          <w:tcPr>
            <w:tcW w:w="2694" w:type="dxa"/>
            <w:gridSpan w:val="2"/>
            <w:tcBorders>
              <w:left w:val="single" w:color="auto" w:sz="4" w:space="0"/>
            </w:tcBorders>
          </w:tcPr>
          <w:p w14:paraId="030935D0">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0B633A7">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17B5CD">
            <w:pPr>
              <w:pStyle w:val="82"/>
              <w:spacing w:after="0"/>
              <w:jc w:val="center"/>
              <w:rPr>
                <w:b/>
                <w:caps/>
                <w:highlight w:val="none"/>
              </w:rPr>
            </w:pPr>
          </w:p>
        </w:tc>
        <w:tc>
          <w:tcPr>
            <w:tcW w:w="2977" w:type="dxa"/>
            <w:gridSpan w:val="4"/>
          </w:tcPr>
          <w:p w14:paraId="7020387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02285D0">
            <w:pPr>
              <w:pStyle w:val="82"/>
              <w:spacing w:after="0"/>
              <w:ind w:left="99"/>
              <w:rPr>
                <w:highlight w:val="none"/>
              </w:rPr>
            </w:pPr>
            <w:r>
              <w:rPr>
                <w:highlight w:val="none"/>
              </w:rPr>
              <w:t xml:space="preserve">TS/TR ... CR ... </w:t>
            </w:r>
          </w:p>
        </w:tc>
      </w:tr>
      <w:tr w14:paraId="4A3C6D8D">
        <w:tblPrEx>
          <w:tblCellMar>
            <w:top w:w="0" w:type="dxa"/>
            <w:left w:w="42" w:type="dxa"/>
            <w:bottom w:w="0" w:type="dxa"/>
            <w:right w:w="42" w:type="dxa"/>
          </w:tblCellMar>
        </w:tblPrEx>
        <w:tc>
          <w:tcPr>
            <w:tcW w:w="2694" w:type="dxa"/>
            <w:gridSpan w:val="2"/>
            <w:tcBorders>
              <w:left w:val="single" w:color="auto" w:sz="4" w:space="0"/>
            </w:tcBorders>
          </w:tcPr>
          <w:p w14:paraId="71FBA92D">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154B42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55C928">
            <w:pPr>
              <w:pStyle w:val="82"/>
              <w:spacing w:after="0"/>
              <w:jc w:val="center"/>
              <w:rPr>
                <w:b/>
                <w:caps/>
                <w:highlight w:val="none"/>
              </w:rPr>
            </w:pPr>
          </w:p>
        </w:tc>
        <w:tc>
          <w:tcPr>
            <w:tcW w:w="2977" w:type="dxa"/>
            <w:gridSpan w:val="4"/>
          </w:tcPr>
          <w:p w14:paraId="3D7570C4">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3CE56D6F">
            <w:pPr>
              <w:pStyle w:val="82"/>
              <w:spacing w:after="0"/>
              <w:ind w:left="99"/>
              <w:rPr>
                <w:highlight w:val="none"/>
              </w:rPr>
            </w:pPr>
            <w:r>
              <w:rPr>
                <w:highlight w:val="none"/>
              </w:rPr>
              <w:t xml:space="preserve">TS/TR ... CR ... </w:t>
            </w:r>
          </w:p>
        </w:tc>
      </w:tr>
      <w:tr w14:paraId="2FEA9789">
        <w:tblPrEx>
          <w:tblCellMar>
            <w:top w:w="0" w:type="dxa"/>
            <w:left w:w="42" w:type="dxa"/>
            <w:bottom w:w="0" w:type="dxa"/>
            <w:right w:w="42" w:type="dxa"/>
          </w:tblCellMar>
        </w:tblPrEx>
        <w:tc>
          <w:tcPr>
            <w:tcW w:w="2694" w:type="dxa"/>
            <w:gridSpan w:val="2"/>
            <w:tcBorders>
              <w:left w:val="single" w:color="auto" w:sz="4" w:space="0"/>
            </w:tcBorders>
          </w:tcPr>
          <w:p w14:paraId="50E658C8">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DE5B58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4910A21">
            <w:pPr>
              <w:pStyle w:val="82"/>
              <w:spacing w:after="0"/>
              <w:jc w:val="center"/>
              <w:rPr>
                <w:b/>
                <w:caps/>
                <w:highlight w:val="none"/>
              </w:rPr>
            </w:pPr>
          </w:p>
        </w:tc>
        <w:tc>
          <w:tcPr>
            <w:tcW w:w="2977" w:type="dxa"/>
            <w:gridSpan w:val="4"/>
          </w:tcPr>
          <w:p w14:paraId="671865CF">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71895FB">
            <w:pPr>
              <w:pStyle w:val="82"/>
              <w:spacing w:after="0"/>
              <w:ind w:left="99"/>
              <w:rPr>
                <w:highlight w:val="none"/>
              </w:rPr>
            </w:pPr>
            <w:r>
              <w:rPr>
                <w:highlight w:val="none"/>
              </w:rPr>
              <w:t xml:space="preserve">TS/TR ... CR ... </w:t>
            </w:r>
          </w:p>
        </w:tc>
      </w:tr>
      <w:tr w14:paraId="7FAF428F">
        <w:tblPrEx>
          <w:tblCellMar>
            <w:top w:w="0" w:type="dxa"/>
            <w:left w:w="42" w:type="dxa"/>
            <w:bottom w:w="0" w:type="dxa"/>
            <w:right w:w="42" w:type="dxa"/>
          </w:tblCellMar>
        </w:tblPrEx>
        <w:tc>
          <w:tcPr>
            <w:tcW w:w="2694" w:type="dxa"/>
            <w:gridSpan w:val="2"/>
            <w:tcBorders>
              <w:left w:val="single" w:color="auto" w:sz="4" w:space="0"/>
            </w:tcBorders>
          </w:tcPr>
          <w:p w14:paraId="3D575F03">
            <w:pPr>
              <w:pStyle w:val="82"/>
              <w:spacing w:after="0"/>
              <w:rPr>
                <w:b/>
                <w:i/>
                <w:highlight w:val="none"/>
              </w:rPr>
            </w:pPr>
          </w:p>
        </w:tc>
        <w:tc>
          <w:tcPr>
            <w:tcW w:w="6946" w:type="dxa"/>
            <w:gridSpan w:val="9"/>
            <w:tcBorders>
              <w:right w:val="single" w:color="auto" w:sz="4" w:space="0"/>
            </w:tcBorders>
          </w:tcPr>
          <w:p w14:paraId="29BDFA7F">
            <w:pPr>
              <w:pStyle w:val="82"/>
              <w:spacing w:after="0"/>
              <w:rPr>
                <w:highlight w:val="none"/>
              </w:rPr>
            </w:pPr>
          </w:p>
        </w:tc>
      </w:tr>
      <w:tr w14:paraId="3C883E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799B734">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72C0B2D3">
            <w:pPr>
              <w:pStyle w:val="82"/>
              <w:spacing w:after="0"/>
              <w:ind w:left="100"/>
              <w:rPr>
                <w:highlight w:val="none"/>
              </w:rPr>
            </w:pPr>
          </w:p>
        </w:tc>
      </w:tr>
      <w:tr w14:paraId="3B4323C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CA307F4">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EC841A6">
            <w:pPr>
              <w:pStyle w:val="82"/>
              <w:spacing w:after="0"/>
              <w:ind w:left="100"/>
              <w:rPr>
                <w:sz w:val="8"/>
                <w:szCs w:val="8"/>
                <w:highlight w:val="none"/>
              </w:rPr>
            </w:pPr>
          </w:p>
        </w:tc>
      </w:tr>
      <w:tr w14:paraId="79F31F5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3926774">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6D697A9">
            <w:pPr>
              <w:pStyle w:val="82"/>
              <w:spacing w:after="0"/>
              <w:ind w:left="100"/>
              <w:rPr>
                <w:highlight w:val="none"/>
              </w:rPr>
            </w:pPr>
          </w:p>
        </w:tc>
      </w:tr>
    </w:tbl>
    <w:p w14:paraId="7531DDFB">
      <w:pPr>
        <w:pStyle w:val="82"/>
        <w:spacing w:after="0"/>
        <w:rPr>
          <w:sz w:val="8"/>
          <w:szCs w:val="8"/>
          <w:highlight w:val="none"/>
        </w:rPr>
      </w:pPr>
    </w:p>
    <w:p w14:paraId="382057F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5970D0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p>
    <w:p w14:paraId="12B6F0B9">
      <w:pPr>
        <w:pStyle w:val="4"/>
        <w:rPr>
          <w:highlight w:val="none"/>
        </w:rPr>
      </w:pPr>
      <w:bookmarkStart w:id="1" w:name="_Toc177650484"/>
      <w:bookmarkStart w:id="2" w:name="_Toc170133317"/>
      <w:r>
        <w:rPr>
          <w:highlight w:val="none"/>
        </w:rPr>
        <w:t>AC.7.9.1</w:t>
      </w:r>
      <w:r>
        <w:rPr>
          <w:highlight w:val="none"/>
        </w:rPr>
        <w:tab/>
      </w:r>
      <w:r>
        <w:rPr>
          <w:highlight w:val="none"/>
        </w:rPr>
        <w:t>Bootstrap Data Channel Setup Signalling Procedure</w:t>
      </w:r>
      <w:bookmarkEnd w:id="1"/>
    </w:p>
    <w:p w14:paraId="01126C01">
      <w:pPr>
        <w:rPr>
          <w:highlight w:val="none"/>
        </w:rPr>
      </w:pPr>
      <w:r>
        <w:rPr>
          <w:highlight w:val="none"/>
        </w:rPr>
        <w:t>Figure AC.7.9.1-1 depicts a signalling flow diagram for establishing a bootstrap data channel when the originating DCMTSI UE initiates an IMS DC session to the terminating MTSI UE.</w:t>
      </w:r>
    </w:p>
    <w:p w14:paraId="33C43866">
      <w:pPr>
        <w:pStyle w:val="56"/>
        <w:rPr>
          <w:highlight w:val="none"/>
        </w:rPr>
      </w:pPr>
      <w:r>
        <w:rPr>
          <w:highlight w:val="none"/>
        </w:rPr>
        <w:object>
          <v:shape id="_x0000_i1025" o:spt="75" type="#_x0000_t75" style="height:425.6pt;width:453.4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14:paraId="438FA40D">
      <w:pPr>
        <w:pStyle w:val="55"/>
        <w:rPr>
          <w:highlight w:val="none"/>
        </w:rPr>
      </w:pPr>
      <w:r>
        <w:rPr>
          <w:highlight w:val="none"/>
        </w:rPr>
        <w:t>Figure AC.7.9.1-1: Bootstrap Data Channel set up Signalling Procedure for IMS data channel interworking with MTSI UE</w:t>
      </w:r>
    </w:p>
    <w:p w14:paraId="0B535CD0">
      <w:pPr>
        <w:pStyle w:val="76"/>
        <w:rPr>
          <w:highlight w:val="none"/>
        </w:rPr>
      </w:pPr>
      <w:r>
        <w:rPr>
          <w:highlight w:val="none"/>
        </w:rPr>
        <w:t>1.</w:t>
      </w:r>
      <w:r>
        <w:rPr>
          <w:highlight w:val="none"/>
        </w:rPr>
        <w:tab/>
      </w:r>
      <w:r>
        <w:rPr>
          <w:highlight w:val="none"/>
        </w:rPr>
        <w:t xml:space="preserve">UE#1 sends the SIP INVITE request with an initial SDP to the IMS AS, through P-CSCF and S-CSCF in the originating network. The initial SDP contains SDP offers for the bootstrap data channel </w:t>
      </w:r>
      <w:ins w:id="0" w:author="Xueqian Bai r1" w:date="2024-09-25T15:30:00Z">
        <w:r>
          <w:rPr>
            <w:highlight w:val="none"/>
          </w:rPr>
          <w:t xml:space="preserve">establishment </w:t>
        </w:r>
      </w:ins>
      <w:ins w:id="1" w:author="Xueqian Bai r1" w:date="2024-09-25T15:30:00Z">
        <w:r>
          <w:rPr>
            <w:rFonts w:hint="eastAsia"/>
            <w:highlight w:val="none"/>
            <w:lang w:val="en-US" w:eastAsia="zh-CN"/>
          </w:rPr>
          <w:t xml:space="preserve">request </w:t>
        </w:r>
      </w:ins>
      <w:r>
        <w:rPr>
          <w:highlight w:val="none"/>
        </w:rPr>
        <w:t>with bootstrap DC stream ID.</w:t>
      </w:r>
    </w:p>
    <w:p w14:paraId="50D9DD83">
      <w:pPr>
        <w:pStyle w:val="76"/>
        <w:rPr>
          <w:highlight w:val="none"/>
        </w:rPr>
      </w:pPr>
      <w:r>
        <w:rPr>
          <w:highlight w:val="none"/>
        </w:rPr>
        <w:t>2.</w:t>
      </w:r>
      <w:r>
        <w:rPr>
          <w:highlight w:val="none"/>
        </w:rPr>
        <w:tab/>
      </w:r>
      <w:r>
        <w:rPr>
          <w:highlight w:val="none"/>
        </w:rPr>
        <w:t>Data channel management procedure in originating network is executed as per step2~10 in Figure AC.7.1-1.</w:t>
      </w:r>
    </w:p>
    <w:p w14:paraId="30089694">
      <w:pPr>
        <w:pStyle w:val="76"/>
        <w:rPr>
          <w:highlight w:val="none"/>
        </w:rPr>
      </w:pPr>
      <w:r>
        <w:rPr>
          <w:highlight w:val="none"/>
        </w:rPr>
        <w:t>3-4.</w:t>
      </w:r>
      <w:r>
        <w:rPr>
          <w:highlight w:val="none"/>
        </w:rPr>
        <w:tab/>
      </w:r>
      <w:r>
        <w:rPr>
          <w:highlight w:val="none"/>
        </w:rPr>
        <w:t>IMS AS sends the INVITE request to remote network with SDP containing data channel media for terminating network and UE #2.</w:t>
      </w:r>
    </w:p>
    <w:p w14:paraId="112A211A">
      <w:pPr>
        <w:pStyle w:val="76"/>
        <w:rPr>
          <w:highlight w:val="none"/>
        </w:rPr>
      </w:pPr>
      <w:r>
        <w:rPr>
          <w:highlight w:val="none"/>
        </w:rPr>
        <w:t>5-7.</w:t>
      </w:r>
      <w:r>
        <w:rPr>
          <w:highlight w:val="none"/>
        </w:rPr>
        <w:tab/>
      </w:r>
      <w:r>
        <w:rPr>
          <w:highlight w:val="none"/>
        </w:rPr>
        <w:t>UE#2 and terminating network returns bootstrap DC negotiation result to originating network. The port number of bootstrap data channel in the SDP answer is set to zero.</w:t>
      </w:r>
    </w:p>
    <w:p w14:paraId="7D2EA607">
      <w:pPr>
        <w:pStyle w:val="76"/>
        <w:rPr>
          <w:highlight w:val="none"/>
        </w:rPr>
      </w:pPr>
      <w:r>
        <w:rPr>
          <w:highlight w:val="none"/>
        </w:rPr>
        <w:t>8.</w:t>
      </w:r>
      <w:r>
        <w:rPr>
          <w:highlight w:val="none"/>
        </w:rPr>
        <w:tab/>
      </w:r>
      <w:r>
        <w:rPr>
          <w:highlight w:val="none"/>
        </w:rPr>
        <w:t>IMS AS requests MF to update the local DC media resources accordingly.</w:t>
      </w:r>
    </w:p>
    <w:p w14:paraId="409E9DE4">
      <w:pPr>
        <w:pStyle w:val="76"/>
        <w:rPr>
          <w:highlight w:val="none"/>
        </w:rPr>
      </w:pPr>
      <w:r>
        <w:rPr>
          <w:highlight w:val="none"/>
        </w:rPr>
        <w:t>9-11.</w:t>
      </w:r>
      <w:r>
        <w:rPr>
          <w:highlight w:val="none"/>
        </w:rPr>
        <w:tab/>
      </w:r>
      <w:r>
        <w:rPr>
          <w:highlight w:val="none"/>
        </w:rPr>
        <w:t>When IMS AS sends the bootstrap DC negotiation result to DCSF, since the port of bootstrap data channel for UE #2 is set to zero, the DCSF knows that the terminating network or UE #2 does not support or does not use IMS data channel in this session.</w:t>
      </w:r>
      <w:ins w:id="2" w:author="Huawei" w:date="2024-10-03T08:40:00Z">
        <w:r>
          <w:rPr>
            <w:highlight w:val="none"/>
          </w:rPr>
          <w:t xml:space="preserve"> </w:t>
        </w:r>
      </w:ins>
      <w:ins w:id="3" w:author="Xueqian Bai r1" w:date="2024-09-25T15:36:00Z">
        <w:r>
          <w:rPr>
            <w:rFonts w:hint="eastAsia" w:eastAsia="宋体"/>
            <w:highlight w:val="none"/>
            <w:lang w:val="en-US" w:eastAsia="zh-CN"/>
          </w:rPr>
          <w:t>Based on this information</w:t>
        </w:r>
      </w:ins>
      <w:ins w:id="4" w:author="JY" w:date="2024-11-09T05:54:08Z">
        <w:r>
          <w:rPr>
            <w:rFonts w:hint="eastAsia" w:eastAsia="宋体"/>
            <w:highlight w:val="none"/>
            <w:lang w:val="en-US" w:eastAsia="zh-CN"/>
          </w:rPr>
          <w:t xml:space="preserve"> and</w:t>
        </w:r>
      </w:ins>
      <w:ins w:id="5" w:author="JY" w:date="2024-11-09T05:54:19Z">
        <w:r>
          <w:rPr>
            <w:rFonts w:hint="eastAsia" w:eastAsia="宋体"/>
            <w:highlight w:val="none"/>
            <w:lang w:val="en-US" w:eastAsia="zh-CN"/>
          </w:rPr>
          <w:t xml:space="preserve"> th</w:t>
        </w:r>
      </w:ins>
      <w:ins w:id="6" w:author="JY" w:date="2024-11-09T05:54:20Z">
        <w:r>
          <w:rPr>
            <w:rFonts w:hint="eastAsia" w:eastAsia="宋体"/>
            <w:highlight w:val="none"/>
            <w:lang w:val="en-US" w:eastAsia="zh-CN"/>
          </w:rPr>
          <w:t xml:space="preserve">e </w:t>
        </w:r>
      </w:ins>
      <w:ins w:id="7" w:author="JY" w:date="2024-11-09T05:55:10Z">
        <w:r>
          <w:rPr>
            <w:rFonts w:hint="eastAsia" w:eastAsia="宋体"/>
            <w:highlight w:val="none"/>
            <w:lang w:val="en-US" w:eastAsia="zh-CN"/>
          </w:rPr>
          <w:t>SD</w:t>
        </w:r>
      </w:ins>
      <w:ins w:id="8" w:author="JY" w:date="2024-11-09T05:55:11Z">
        <w:r>
          <w:rPr>
            <w:rFonts w:hint="eastAsia" w:eastAsia="宋体"/>
            <w:highlight w:val="none"/>
            <w:lang w:val="en-US" w:eastAsia="zh-CN"/>
          </w:rPr>
          <w:t>P</w:t>
        </w:r>
      </w:ins>
      <w:ins w:id="9" w:author="JY" w:date="2024-11-09T05:55:12Z">
        <w:r>
          <w:rPr>
            <w:rFonts w:hint="eastAsia" w:eastAsia="宋体"/>
            <w:highlight w:val="none"/>
            <w:lang w:val="en-US" w:eastAsia="zh-CN"/>
          </w:rPr>
          <w:t xml:space="preserve"> ne</w:t>
        </w:r>
      </w:ins>
      <w:ins w:id="10" w:author="JY" w:date="2024-11-09T05:55:13Z">
        <w:r>
          <w:rPr>
            <w:rFonts w:hint="eastAsia" w:eastAsia="宋体"/>
            <w:highlight w:val="none"/>
            <w:lang w:val="en-US" w:eastAsia="zh-CN"/>
          </w:rPr>
          <w:t>go</w:t>
        </w:r>
      </w:ins>
      <w:ins w:id="11" w:author="JY" w:date="2024-11-09T05:55:15Z">
        <w:r>
          <w:rPr>
            <w:rFonts w:hint="eastAsia" w:eastAsia="宋体"/>
            <w:highlight w:val="none"/>
            <w:lang w:val="en-US" w:eastAsia="zh-CN"/>
          </w:rPr>
          <w:t>tiat</w:t>
        </w:r>
      </w:ins>
      <w:ins w:id="12" w:author="JY" w:date="2024-11-09T05:55:16Z">
        <w:r>
          <w:rPr>
            <w:rFonts w:hint="eastAsia" w:eastAsia="宋体"/>
            <w:highlight w:val="none"/>
            <w:lang w:val="en-US" w:eastAsia="zh-CN"/>
          </w:rPr>
          <w:t>ion in</w:t>
        </w:r>
      </w:ins>
      <w:ins w:id="13" w:author="JY" w:date="2024-11-09T05:55:17Z">
        <w:r>
          <w:rPr>
            <w:rFonts w:hint="eastAsia" w:eastAsia="宋体"/>
            <w:highlight w:val="none"/>
            <w:lang w:val="en-US" w:eastAsia="zh-CN"/>
          </w:rPr>
          <w:t xml:space="preserve"> </w:t>
        </w:r>
      </w:ins>
      <w:ins w:id="14" w:author="JY" w:date="2024-11-09T05:55:18Z">
        <w:r>
          <w:rPr>
            <w:rFonts w:hint="eastAsia" w:eastAsia="宋体"/>
            <w:highlight w:val="none"/>
            <w:lang w:val="en-US" w:eastAsia="zh-CN"/>
          </w:rPr>
          <w:t>ste</w:t>
        </w:r>
      </w:ins>
      <w:ins w:id="15" w:author="JY" w:date="2024-11-09T05:55:19Z">
        <w:r>
          <w:rPr>
            <w:rFonts w:hint="eastAsia" w:eastAsia="宋体"/>
            <w:highlight w:val="none"/>
            <w:lang w:val="en-US" w:eastAsia="zh-CN"/>
          </w:rPr>
          <w:t>p</w:t>
        </w:r>
      </w:ins>
      <w:ins w:id="16" w:author="JY" w:date="2024-11-09T05:55:20Z">
        <w:r>
          <w:rPr>
            <w:rFonts w:hint="eastAsia" w:eastAsia="宋体"/>
            <w:highlight w:val="none"/>
            <w:lang w:val="en-US" w:eastAsia="zh-CN"/>
          </w:rPr>
          <w:t xml:space="preserve"> 2</w:t>
        </w:r>
      </w:ins>
      <w:ins w:id="17" w:author="Xueqian Bai r1" w:date="2024-09-25T15:36:00Z">
        <w:r>
          <w:rPr>
            <w:rFonts w:hint="eastAsia" w:eastAsia="宋体"/>
            <w:highlight w:val="none"/>
            <w:lang w:val="en-US" w:eastAsia="zh-CN"/>
          </w:rPr>
          <w:t>, t</w:t>
        </w:r>
      </w:ins>
      <w:ins w:id="18" w:author="Xueqian Bai r1" w:date="2024-09-25T15:36:00Z">
        <w:r>
          <w:rPr>
            <w:rFonts w:eastAsia="宋体"/>
            <w:highlight w:val="none"/>
          </w:rPr>
          <w:t>he DCSF determine</w:t>
        </w:r>
      </w:ins>
      <w:ins w:id="19" w:author="Xueqian Bai r1" w:date="2024-09-25T15:36:00Z">
        <w:r>
          <w:rPr>
            <w:rFonts w:hint="eastAsia" w:eastAsia="宋体"/>
            <w:highlight w:val="none"/>
            <w:lang w:val="en-US" w:eastAsia="zh-CN"/>
          </w:rPr>
          <w:t xml:space="preserve">s the </w:t>
        </w:r>
      </w:ins>
      <w:ins w:id="20" w:author="Xueqian Bai r1" w:date="2024-09-25T15:36:00Z">
        <w:r>
          <w:rPr>
            <w:rFonts w:eastAsia="宋体"/>
            <w:highlight w:val="none"/>
          </w:rPr>
          <w:t>IMS DC interworking</w:t>
        </w:r>
      </w:ins>
      <w:ins w:id="21" w:author="Xueqian Bai r1" w:date="2024-09-25T15:36:00Z">
        <w:r>
          <w:rPr>
            <w:rFonts w:hint="eastAsia" w:eastAsia="宋体"/>
            <w:highlight w:val="none"/>
            <w:lang w:val="en-US" w:eastAsia="zh-CN"/>
          </w:rPr>
          <w:t xml:space="preserve"> is required</w:t>
        </w:r>
      </w:ins>
      <w:ins w:id="22" w:author="JY" w:date="2024-11-07T11:28:05Z">
        <w:r>
          <w:rPr>
            <w:rFonts w:hint="eastAsia" w:eastAsia="宋体"/>
            <w:highlight w:val="none"/>
            <w:lang w:val="en-US" w:eastAsia="zh-CN"/>
          </w:rPr>
          <w:t xml:space="preserve"> </w:t>
        </w:r>
      </w:ins>
      <w:ins w:id="23" w:author="JY" w:date="2024-11-07T11:36:44Z">
        <w:r>
          <w:rPr>
            <w:rFonts w:hint="eastAsia" w:eastAsia="宋体"/>
            <w:highlight w:val="none"/>
            <w:lang w:val="en-US" w:eastAsia="zh-CN"/>
          </w:rPr>
          <w:t>for</w:t>
        </w:r>
      </w:ins>
      <w:ins w:id="24" w:author="JY" w:date="2024-11-07T11:36:45Z">
        <w:r>
          <w:rPr>
            <w:rFonts w:hint="eastAsia" w:eastAsia="宋体"/>
            <w:highlight w:val="none"/>
            <w:lang w:val="en-US" w:eastAsia="zh-CN"/>
          </w:rPr>
          <w:t xml:space="preserve"> furt</w:t>
        </w:r>
      </w:ins>
      <w:ins w:id="25" w:author="JY" w:date="2024-11-07T11:36:46Z">
        <w:r>
          <w:rPr>
            <w:rFonts w:hint="eastAsia" w:eastAsia="宋体"/>
            <w:highlight w:val="none"/>
            <w:lang w:val="en-US" w:eastAsia="zh-CN"/>
          </w:rPr>
          <w:t xml:space="preserve">her </w:t>
        </w:r>
      </w:ins>
      <w:ins w:id="26" w:author="JY" w:date="2024-11-07T11:37:59Z">
        <w:r>
          <w:rPr>
            <w:rFonts w:hint="eastAsia" w:eastAsia="宋体"/>
            <w:highlight w:val="none"/>
            <w:lang w:val="en-US" w:eastAsia="zh-CN"/>
          </w:rPr>
          <w:t>app</w:t>
        </w:r>
      </w:ins>
      <w:ins w:id="27" w:author="JY" w:date="2024-11-07T11:38:00Z">
        <w:r>
          <w:rPr>
            <w:rFonts w:hint="eastAsia" w:eastAsia="宋体"/>
            <w:highlight w:val="none"/>
            <w:lang w:val="en-US" w:eastAsia="zh-CN"/>
          </w:rPr>
          <w:t>licatio</w:t>
        </w:r>
      </w:ins>
      <w:ins w:id="28" w:author="JY" w:date="2024-11-07T11:38:01Z">
        <w:r>
          <w:rPr>
            <w:rFonts w:hint="eastAsia" w:eastAsia="宋体"/>
            <w:highlight w:val="none"/>
            <w:lang w:val="en-US" w:eastAsia="zh-CN"/>
          </w:rPr>
          <w:t xml:space="preserve">n </w:t>
        </w:r>
      </w:ins>
      <w:ins w:id="29" w:author="JY" w:date="2024-11-07T11:38:02Z">
        <w:r>
          <w:rPr>
            <w:rFonts w:hint="eastAsia" w:eastAsia="宋体"/>
            <w:highlight w:val="none"/>
            <w:lang w:val="en-US" w:eastAsia="zh-CN"/>
          </w:rPr>
          <w:t>DC</w:t>
        </w:r>
      </w:ins>
      <w:ins w:id="30" w:author="Xueqian Bai r1" w:date="2024-09-25T15:36:00Z">
        <w:r>
          <w:rPr>
            <w:rFonts w:hint="eastAsia" w:eastAsia="宋体"/>
            <w:highlight w:val="none"/>
            <w:lang w:val="en-US" w:eastAsia="zh-CN"/>
          </w:rPr>
          <w:t>.</w:t>
        </w:r>
      </w:ins>
    </w:p>
    <w:p w14:paraId="67A14C32">
      <w:pPr>
        <w:pStyle w:val="76"/>
        <w:rPr>
          <w:highlight w:val="none"/>
        </w:rPr>
      </w:pPr>
      <w:r>
        <w:rPr>
          <w:highlight w:val="none"/>
        </w:rPr>
        <w:t>12-18.</w:t>
      </w:r>
      <w:r>
        <w:rPr>
          <w:highlight w:val="none"/>
        </w:rPr>
        <w:tab/>
      </w:r>
      <w:r>
        <w:rPr>
          <w:highlight w:val="none"/>
        </w:rPr>
        <w:t>These procedures are same as step14~20 in Figure AC.7.1-1.</w:t>
      </w:r>
    </w:p>
    <w:p w14:paraId="0B433E05">
      <w:pPr>
        <w:pStyle w:val="76"/>
        <w:rPr>
          <w:highlight w:val="none"/>
        </w:rPr>
      </w:pPr>
      <w:r>
        <w:rPr>
          <w:highlight w:val="none"/>
        </w:rPr>
        <w:t>19. The bootstrap data channels have been established only between originating MF and UE#1.</w:t>
      </w:r>
    </w:p>
    <w:p w14:paraId="64CA5415">
      <w:pPr>
        <w:pStyle w:val="76"/>
        <w:rPr>
          <w:highlight w:val="none"/>
        </w:rPr>
      </w:pPr>
      <w:r>
        <w:rPr>
          <w:highlight w:val="none"/>
        </w:rPr>
        <w:t>20.</w:t>
      </w:r>
      <w:r>
        <w:rPr>
          <w:highlight w:val="none"/>
        </w:rPr>
        <w:tab/>
      </w:r>
      <w:r>
        <w:rPr>
          <w:highlight w:val="none"/>
        </w:rPr>
        <w:t>The subsequent procedure applies.</w:t>
      </w:r>
    </w:p>
    <w:p w14:paraId="26555876">
      <w:pPr>
        <w:pStyle w:val="4"/>
        <w:rPr>
          <w:highlight w:val="none"/>
        </w:rPr>
      </w:pPr>
      <w:bookmarkStart w:id="3" w:name="_Toc177650485"/>
      <w:r>
        <w:rPr>
          <w:highlight w:val="none"/>
        </w:rPr>
        <w:t>AC.7.9.2</w:t>
      </w:r>
      <w:r>
        <w:rPr>
          <w:highlight w:val="none"/>
        </w:rPr>
        <w:tab/>
      </w:r>
      <w:r>
        <w:rPr>
          <w:highlight w:val="none"/>
        </w:rPr>
        <w:t>Signalling Procedure of Application Data Channel Interworking via MF</w:t>
      </w:r>
      <w:bookmarkEnd w:id="3"/>
    </w:p>
    <w:p w14:paraId="0376E6A8">
      <w:pPr>
        <w:rPr>
          <w:highlight w:val="none"/>
        </w:rPr>
      </w:pPr>
      <w:r>
        <w:rPr>
          <w:highlight w:val="none"/>
        </w:rPr>
        <w:t>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Real-time Screen Sharing for instance.</w:t>
      </w:r>
    </w:p>
    <w:p w14:paraId="3E1EAC42">
      <w:pPr>
        <w:pStyle w:val="56"/>
        <w:rPr>
          <w:highlight w:val="none"/>
        </w:rPr>
      </w:pPr>
      <w:r>
        <w:rPr>
          <w:highlight w:val="none"/>
          <w:lang w:val="en-US" w:eastAsia="zh-CN"/>
        </w:rPr>
        <w:object>
          <v:shape id="_x0000_i1026" o:spt="75" type="#_x0000_t75" style="height:400.55pt;width:481.65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14:paraId="6025E211">
      <w:pPr>
        <w:pStyle w:val="55"/>
        <w:rPr>
          <w:highlight w:val="none"/>
        </w:rPr>
      </w:pPr>
      <w:r>
        <w:rPr>
          <w:highlight w:val="none"/>
        </w:rPr>
        <w:t>Figure AC.7.9.2-1: Application Data Channel set up signalling procedure for IMS data channel interworking with MTSI UE via MF</w:t>
      </w:r>
    </w:p>
    <w:p w14:paraId="62344AD2">
      <w:pPr>
        <w:pStyle w:val="76"/>
        <w:rPr>
          <w:highlight w:val="none"/>
        </w:rPr>
      </w:pPr>
      <w:r>
        <w:rPr>
          <w:highlight w:val="none"/>
        </w:rPr>
        <w:t>1-3.</w:t>
      </w:r>
      <w:r>
        <w:rPr>
          <w:highlight w:val="none"/>
        </w:rPr>
        <w:tab/>
      </w:r>
      <w:r>
        <w:rPr>
          <w:highlight w:val="none"/>
        </w:rPr>
        <w:t>UE#1 initiates a re-INVITE request to establish an application data channel in which the application data channel and data channel application information (for instance, application ID) are contained. The IMS AS validates user subscription data to determine whether this request should be notified to the DCSF as stated in clause AC.7.2.</w:t>
      </w:r>
    </w:p>
    <w:p w14:paraId="5049875B">
      <w:pPr>
        <w:pStyle w:val="76"/>
        <w:rPr>
          <w:highlight w:val="none"/>
        </w:rPr>
      </w:pPr>
      <w:r>
        <w:rPr>
          <w:highlight w:val="none"/>
        </w:rPr>
        <w:t>4.</w:t>
      </w:r>
      <w:r>
        <w:rPr>
          <w:highlight w:val="none"/>
        </w:rPr>
        <w:tab/>
      </w:r>
      <w:r>
        <w:rPr>
          <w:highlight w:val="none"/>
        </w:rPr>
        <w:t>After receiving the request, the DCSF determines the policy about how to process the application data channel establishment request based on the related parameters (i.e. associated DC application binding information as application ID) in the notification and/or DCSF service specific policy.</w:t>
      </w:r>
    </w:p>
    <w:p w14:paraId="7F1AE118">
      <w:pPr>
        <w:pStyle w:val="76"/>
        <w:rPr>
          <w:highlight w:val="none"/>
        </w:rPr>
      </w:pPr>
      <w:r>
        <w:rPr>
          <w:highlight w:val="none"/>
        </w:rPr>
        <w:t>5-7.</w:t>
      </w:r>
      <w:r>
        <w:rPr>
          <w:highlight w:val="none"/>
        </w:rPr>
        <w:tab/>
      </w:r>
      <w:r>
        <w:rPr>
          <w:highlight w:val="none"/>
        </w:rPr>
        <w:t>Since the DCSF has known the terminating network or UE #2 does not support or does not use IMS data channel in this session, the DCSF determines that interworking of the application data channel media to MTSI UE is needed</w:t>
      </w:r>
      <w:ins w:id="31" w:author="JY" w:date="2024-11-07T11:50:31Z">
        <w:r>
          <w:rPr>
            <w:rFonts w:hint="eastAsia"/>
            <w:highlight w:val="none"/>
            <w:lang w:val="en-US" w:eastAsia="zh-CN"/>
          </w:rPr>
          <w:t xml:space="preserve"> for</w:t>
        </w:r>
      </w:ins>
      <w:ins w:id="32" w:author="JY" w:date="2024-11-07T11:50:32Z">
        <w:r>
          <w:rPr>
            <w:rFonts w:hint="eastAsia"/>
            <w:highlight w:val="none"/>
            <w:lang w:val="en-US" w:eastAsia="zh-CN"/>
          </w:rPr>
          <w:t xml:space="preserve"> this</w:t>
        </w:r>
      </w:ins>
      <w:ins w:id="33" w:author="JY" w:date="2024-11-07T11:50:33Z">
        <w:r>
          <w:rPr>
            <w:rFonts w:hint="eastAsia"/>
            <w:highlight w:val="none"/>
            <w:lang w:val="en-US" w:eastAsia="zh-CN"/>
          </w:rPr>
          <w:t xml:space="preserve"> </w:t>
        </w:r>
      </w:ins>
      <w:ins w:id="34" w:author="JY" w:date="2024-11-07T11:50:38Z">
        <w:r>
          <w:rPr>
            <w:rFonts w:hint="eastAsia"/>
            <w:highlight w:val="none"/>
            <w:lang w:val="en-US" w:eastAsia="zh-CN"/>
          </w:rPr>
          <w:t>data c</w:t>
        </w:r>
      </w:ins>
      <w:ins w:id="35" w:author="JY" w:date="2024-11-07T11:50:39Z">
        <w:r>
          <w:rPr>
            <w:rFonts w:hint="eastAsia"/>
            <w:highlight w:val="none"/>
            <w:lang w:val="en-US" w:eastAsia="zh-CN"/>
          </w:rPr>
          <w:t>hannel</w:t>
        </w:r>
      </w:ins>
      <w:r>
        <w:rPr>
          <w:highlight w:val="none"/>
        </w:rPr>
        <w:t>, based on the application information, i.e. application id. The DCSF invokes Nimsas_MediaControl_MediaInstruction to the IMS AS and instructs the IMS AS to create resources and association for the application data channels on originating side and video media on terminating side. And it also includes the instruction of how to transform data channel media to video media. The IMS AS invokes Nmf_MediaResourceManagement to the MF to allocate resource and transform data channel media to video media according to DCSF's instruction.</w:t>
      </w:r>
    </w:p>
    <w:p w14:paraId="1E00489E">
      <w:pPr>
        <w:pStyle w:val="57"/>
        <w:rPr>
          <w:highlight w:val="none"/>
        </w:rPr>
      </w:pPr>
      <w:r>
        <w:rPr>
          <w:highlight w:val="none"/>
        </w:rPr>
        <w:t>NOTE:</w:t>
      </w:r>
      <w:r>
        <w:rPr>
          <w:highlight w:val="none"/>
        </w:rPr>
        <w:tab/>
      </w:r>
      <w:r>
        <w:rPr>
          <w:highlight w:val="none"/>
        </w:rPr>
        <w:t>The media instruction is based on media transforming protocol specified by SA WG4.</w:t>
      </w:r>
    </w:p>
    <w:p w14:paraId="0BE26AD6">
      <w:pPr>
        <w:pStyle w:val="76"/>
        <w:rPr>
          <w:highlight w:val="none"/>
        </w:rPr>
      </w:pPr>
      <w:r>
        <w:rPr>
          <w:highlight w:val="none"/>
        </w:rPr>
        <w:t>8-9.</w:t>
      </w:r>
      <w:r>
        <w:rPr>
          <w:highlight w:val="none"/>
        </w:rPr>
        <w:tab/>
      </w:r>
      <w:r>
        <w:rPr>
          <w:highlight w:val="none"/>
        </w:rPr>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461B0ED1">
      <w:pPr>
        <w:pStyle w:val="76"/>
        <w:rPr>
          <w:highlight w:val="none"/>
        </w:rPr>
      </w:pPr>
      <w:r>
        <w:rPr>
          <w:highlight w:val="none"/>
        </w:rPr>
        <w:t>10-11.</w:t>
      </w:r>
      <w:r>
        <w:rPr>
          <w:highlight w:val="none"/>
        </w:rPr>
        <w:tab/>
      </w:r>
      <w:r>
        <w:rPr>
          <w:highlight w:val="none"/>
        </w:rPr>
        <w:t>After the media resource reservation, the IMS AS sends a re-INVITE request with the SDP offer for anchoring the video media of UE#2 to the MF.</w:t>
      </w:r>
    </w:p>
    <w:p w14:paraId="51894283">
      <w:pPr>
        <w:pStyle w:val="76"/>
        <w:rPr>
          <w:highlight w:val="none"/>
        </w:rPr>
      </w:pPr>
      <w:r>
        <w:rPr>
          <w:highlight w:val="none"/>
        </w:rPr>
        <w:t>12-14.</w:t>
      </w:r>
      <w:r>
        <w:rPr>
          <w:highlight w:val="none"/>
        </w:rPr>
        <w:tab/>
      </w:r>
      <w:r>
        <w:rPr>
          <w:highlight w:val="none"/>
        </w:rPr>
        <w:t>After terminating network side negotiation, UE#2 and terminating network returns 200 OK for the re-NVITE.</w:t>
      </w:r>
    </w:p>
    <w:p w14:paraId="1C9C5B5D">
      <w:pPr>
        <w:pStyle w:val="76"/>
        <w:rPr>
          <w:highlight w:val="none"/>
        </w:rPr>
      </w:pPr>
      <w:r>
        <w:rPr>
          <w:highlight w:val="none"/>
        </w:rPr>
        <w:t>15-16.</w:t>
      </w:r>
      <w:r>
        <w:rPr>
          <w:highlight w:val="none"/>
        </w:rPr>
        <w:tab/>
      </w:r>
      <w:r>
        <w:rPr>
          <w:highlight w:val="none"/>
        </w:rPr>
        <w:t>DCSF is notified about the terminating network media negotiation result.</w:t>
      </w:r>
    </w:p>
    <w:p w14:paraId="1F12956F">
      <w:pPr>
        <w:pStyle w:val="76"/>
        <w:rPr>
          <w:highlight w:val="none"/>
        </w:rPr>
      </w:pPr>
      <w:r>
        <w:rPr>
          <w:highlight w:val="none"/>
        </w:rPr>
        <w:t>17-21.</w:t>
      </w:r>
      <w:r>
        <w:rPr>
          <w:highlight w:val="none"/>
        </w:rPr>
        <w:tab/>
      </w:r>
      <w:r>
        <w:rPr>
          <w:highlight w:val="none"/>
        </w:rPr>
        <w:t>The IMS AS sends 200 OK for re-INVITE initiated by UE#1 and UE#1 returns ACK.</w:t>
      </w:r>
    </w:p>
    <w:p w14:paraId="61E10463">
      <w:pPr>
        <w:pStyle w:val="76"/>
        <w:rPr>
          <w:highlight w:val="none"/>
        </w:rPr>
      </w:pPr>
      <w:r>
        <w:rPr>
          <w:highlight w:val="none"/>
        </w:rPr>
        <w:t>22.</w:t>
      </w:r>
      <w:r>
        <w:rPr>
          <w:highlight w:val="none"/>
        </w:rPr>
        <w:tab/>
      </w:r>
      <w:r>
        <w:rPr>
          <w:highlight w:val="none"/>
        </w:rPr>
        <w:t>UE#1 initiates SCTP association and DTLS connection establishment procedures and establishes the application data channels with the MF.</w:t>
      </w:r>
    </w:p>
    <w:p w14:paraId="4D43AA26">
      <w:pPr>
        <w:pStyle w:val="76"/>
        <w:rPr>
          <w:highlight w:val="none"/>
        </w:rPr>
      </w:pPr>
      <w:r>
        <w:rPr>
          <w:highlight w:val="none"/>
        </w:rPr>
        <w:t>23-24.</w:t>
      </w:r>
      <w:r>
        <w:rPr>
          <w:highlight w:val="none"/>
        </w:rPr>
        <w:tab/>
      </w:r>
      <w:r>
        <w:rPr>
          <w:highlight w:val="none"/>
        </w:rPr>
        <w:t>The IMS AS reports media negotiation result to the DCSF, and reports that anchoring video stream is successful. The DCSF sends a Call Control Request to the MMTel AS indicating it to continue the call process.</w:t>
      </w:r>
    </w:p>
    <w:p w14:paraId="4C5CD822">
      <w:pPr>
        <w:pStyle w:val="76"/>
        <w:rPr>
          <w:highlight w:val="none"/>
        </w:rPr>
      </w:pPr>
      <w:r>
        <w:rPr>
          <w:highlight w:val="none"/>
        </w:rPr>
        <w:t>25.</w:t>
      </w:r>
      <w:r>
        <w:rPr>
          <w:highlight w:val="none"/>
        </w:rPr>
        <w:tab/>
      </w:r>
      <w:r>
        <w:rPr>
          <w:highlight w:val="none"/>
        </w:rPr>
        <w:t>The IMS AS sends a Media Resource Management Request to the MF to associate application data channel stream between UE#1 and the MF with the allocated video streams between UE#2 and the MF.</w:t>
      </w:r>
    </w:p>
    <w:p w14:paraId="2ADDC8B0">
      <w:pPr>
        <w:pStyle w:val="76"/>
        <w:rPr>
          <w:highlight w:val="none"/>
        </w:rPr>
      </w:pPr>
      <w:r>
        <w:rPr>
          <w:highlight w:val="none"/>
        </w:rPr>
        <w:tab/>
      </w:r>
      <w:r>
        <w:rPr>
          <w:highlight w:val="none"/>
        </w:rPr>
        <w:t>The application data channels between the MF and UE#1 are associated with the RTP video streams between the MF and UE#2. The RTP stream of UE#1's screenshot sequence is received by UE#2 from video streams.</w:t>
      </w:r>
    </w:p>
    <w:p w14:paraId="5B2FC077">
      <w:pPr>
        <w:pStyle w:val="4"/>
        <w:rPr>
          <w:highlight w:val="none"/>
        </w:rPr>
      </w:pPr>
      <w:bookmarkStart w:id="4" w:name="_Toc177650486"/>
      <w:r>
        <w:rPr>
          <w:highlight w:val="none"/>
        </w:rPr>
        <w:t>AC.7.9.3</w:t>
      </w:r>
      <w:r>
        <w:rPr>
          <w:highlight w:val="none"/>
        </w:rPr>
        <w:tab/>
      </w:r>
      <w:r>
        <w:rPr>
          <w:highlight w:val="none"/>
        </w:rPr>
        <w:t>Signalling Procedure of Application Data Channel Interworking via DC AS</w:t>
      </w:r>
      <w:bookmarkEnd w:id="4"/>
    </w:p>
    <w:p w14:paraId="7BCDBBF0">
      <w:pPr>
        <w:rPr>
          <w:highlight w:val="none"/>
        </w:rPr>
      </w:pPr>
      <w:r>
        <w:rPr>
          <w:highlight w:val="none"/>
        </w:rPr>
        <w:t>Figure AC.7.9.3-1 depicts a signalling flow diagram for establishing an application data channel from DCMTSI UE to DC application server, providing interworking of application data channel to MTSI UE via DC application server.</w:t>
      </w:r>
    </w:p>
    <w:p w14:paraId="28A8966B">
      <w:pPr>
        <w:rPr>
          <w:highlight w:val="none"/>
        </w:rPr>
      </w:pPr>
      <w:r>
        <w:rPr>
          <w:highlight w:val="none"/>
        </w:rPr>
        <w:t>In the call flow the UEs have already established an IMS audio session, and the DCMTSI UE (UE#1) wants to provide DC application data to MTSI UE (UE#2) during the call, such as transfer a file (e.g. a photo) to UE#2.</w:t>
      </w:r>
    </w:p>
    <w:p w14:paraId="367F4FF6">
      <w:pPr>
        <w:pStyle w:val="56"/>
        <w:rPr>
          <w:highlight w:val="none"/>
        </w:rPr>
      </w:pPr>
      <w:bookmarkStart w:id="5" w:name="_MON_1684549432"/>
      <w:bookmarkEnd w:id="5"/>
      <w:r>
        <w:rPr>
          <w:highlight w:val="none"/>
        </w:rPr>
        <w:object>
          <v:shape id="_x0000_i1027" o:spt="75" type="#_x0000_t75" style="height:453.85pt;width:480.3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14:paraId="3640D07A">
      <w:pPr>
        <w:pStyle w:val="55"/>
        <w:rPr>
          <w:highlight w:val="none"/>
        </w:rPr>
      </w:pPr>
      <w:r>
        <w:rPr>
          <w:highlight w:val="none"/>
        </w:rPr>
        <w:t>Figure AC.7.9.3-1: Application Data Channel set up signalling procedure for IMS data channel interworking with MTSI UE via DC application server</w:t>
      </w:r>
    </w:p>
    <w:p w14:paraId="30BA3BB7">
      <w:pPr>
        <w:rPr>
          <w:highlight w:val="none"/>
        </w:rPr>
      </w:pPr>
      <w:r>
        <w:rPr>
          <w:highlight w:val="none"/>
        </w:rPr>
        <w:t>The steps in the call flow are as follows:</w:t>
      </w:r>
    </w:p>
    <w:p w14:paraId="1DC30E4C">
      <w:pPr>
        <w:pStyle w:val="76"/>
        <w:rPr>
          <w:highlight w:val="none"/>
        </w:rPr>
      </w:pPr>
      <w:r>
        <w:rPr>
          <w:highlight w:val="none"/>
        </w:rPr>
        <w:t>1.</w:t>
      </w:r>
      <w:r>
        <w:rPr>
          <w:highlight w:val="none"/>
        </w:rPr>
        <w:tab/>
      </w:r>
      <w:r>
        <w:rPr>
          <w:highlight w:val="none"/>
        </w:rPr>
        <w:t>DC AS subscribes to IMS AS the event that application DC for an DC application that requires interworking is established.</w:t>
      </w:r>
    </w:p>
    <w:p w14:paraId="0F33C83C">
      <w:pPr>
        <w:pStyle w:val="76"/>
        <w:rPr>
          <w:highlight w:val="none"/>
        </w:rPr>
      </w:pPr>
      <w:r>
        <w:rPr>
          <w:highlight w:val="none"/>
        </w:rPr>
        <w:t>2.</w:t>
      </w:r>
      <w:r>
        <w:rPr>
          <w:highlight w:val="none"/>
        </w:rPr>
        <w:tab/>
      </w:r>
      <w:r>
        <w:rPr>
          <w:highlight w:val="none"/>
        </w:rPr>
        <w:t>IMS session and bootstrap data channel have been established. Selected DC application(s) have been downloaded to UE#1.</w:t>
      </w:r>
    </w:p>
    <w:p w14:paraId="5BB1B641">
      <w:pPr>
        <w:pStyle w:val="76"/>
        <w:rPr>
          <w:highlight w:val="none"/>
        </w:rPr>
      </w:pPr>
      <w:r>
        <w:rPr>
          <w:highlight w:val="none"/>
        </w:rPr>
        <w:tab/>
      </w:r>
      <w:r>
        <w:rPr>
          <w:highlight w:val="none"/>
        </w:rPr>
        <w:t>The DCSF knows the UE#2 or terminating network does not support IMS DC based on procedure in clause AC.7.9.1.</w:t>
      </w:r>
    </w:p>
    <w:p w14:paraId="4852EC50">
      <w:pPr>
        <w:pStyle w:val="76"/>
        <w:rPr>
          <w:highlight w:val="none"/>
        </w:rPr>
      </w:pPr>
      <w:r>
        <w:rPr>
          <w:highlight w:val="none"/>
        </w:rPr>
        <w:t>3-5.</w:t>
      </w:r>
      <w:r>
        <w:rPr>
          <w:highlight w:val="none"/>
        </w:rPr>
        <w:tab/>
      </w:r>
      <w:r>
        <w:rPr>
          <w:highlight w:val="none"/>
        </w:rPr>
        <w:t>The UE#1 initiates a P2P application DC. Steps 1-2 of clause AC.7.2.1 applies.</w:t>
      </w:r>
    </w:p>
    <w:p w14:paraId="0C8E5611">
      <w:pPr>
        <w:pStyle w:val="76"/>
        <w:rPr>
          <w:highlight w:val="none"/>
        </w:rPr>
      </w:pPr>
      <w:r>
        <w:rPr>
          <w:highlight w:val="none"/>
        </w:rPr>
        <w:t>6.</w:t>
      </w:r>
      <w:r>
        <w:rPr>
          <w:highlight w:val="none"/>
        </w:rPr>
        <w:tab/>
      </w:r>
      <w:ins w:id="36" w:author="Xueqian Bai r1" w:date="2024-09-25T15:48:00Z">
        <w:r>
          <w:rPr>
            <w:highlight w:val="none"/>
          </w:rPr>
          <w:t>Since the DCSF has known the terminating network or UE #2 does not support or does not use IMS data channel in this session, the DCSF determines that interworking of th</w:t>
        </w:r>
      </w:ins>
      <w:ins w:id="37" w:author="Xueqian Bai r1" w:date="2024-09-25T15:48:00Z">
        <w:del w:id="38" w:author="JY" w:date="2024-11-07T11:52:06Z">
          <w:r>
            <w:rPr>
              <w:rFonts w:hint="default"/>
              <w:highlight w:val="none"/>
              <w:lang w:val="en-US"/>
            </w:rPr>
            <w:delText>e</w:delText>
          </w:r>
        </w:del>
      </w:ins>
      <w:ins w:id="39" w:author="JY" w:date="2024-11-07T11:52:06Z">
        <w:r>
          <w:rPr>
            <w:rFonts w:hint="eastAsia"/>
            <w:highlight w:val="none"/>
            <w:lang w:val="en-US" w:eastAsia="zh-CN"/>
          </w:rPr>
          <w:t>i</w:t>
        </w:r>
      </w:ins>
      <w:ins w:id="40" w:author="JY" w:date="2024-11-07T11:52:07Z">
        <w:r>
          <w:rPr>
            <w:rFonts w:hint="eastAsia"/>
            <w:highlight w:val="none"/>
            <w:lang w:val="en-US" w:eastAsia="zh-CN"/>
          </w:rPr>
          <w:t>s</w:t>
        </w:r>
      </w:ins>
      <w:ins w:id="41" w:author="Xueqian Bai r1" w:date="2024-09-25T15:48:00Z">
        <w:r>
          <w:rPr>
            <w:highlight w:val="none"/>
          </w:rPr>
          <w:t xml:space="preserve"> application data channel media to MTSI UE is needed</w:t>
        </w:r>
      </w:ins>
      <w:ins w:id="42" w:author="JY" w:date="2024-11-07T11:52:21Z">
        <w:r>
          <w:rPr>
            <w:rFonts w:hint="eastAsia"/>
            <w:highlight w:val="none"/>
            <w:lang w:val="en-US" w:eastAsia="zh-CN"/>
          </w:rPr>
          <w:t>,base</w:t>
        </w:r>
      </w:ins>
      <w:ins w:id="43" w:author="JY" w:date="2024-11-07T11:52:22Z">
        <w:r>
          <w:rPr>
            <w:rFonts w:hint="eastAsia"/>
            <w:highlight w:val="none"/>
            <w:lang w:val="en-US" w:eastAsia="zh-CN"/>
          </w:rPr>
          <w:t>d o</w:t>
        </w:r>
      </w:ins>
      <w:ins w:id="44" w:author="JY" w:date="2024-11-07T11:52:23Z">
        <w:r>
          <w:rPr>
            <w:rFonts w:hint="eastAsia"/>
            <w:highlight w:val="none"/>
            <w:lang w:val="en-US" w:eastAsia="zh-CN"/>
          </w:rPr>
          <w:t xml:space="preserve">n </w:t>
        </w:r>
      </w:ins>
      <w:ins w:id="45" w:author="JY" w:date="2024-11-07T11:52:25Z">
        <w:r>
          <w:rPr>
            <w:rFonts w:hint="eastAsia"/>
            <w:highlight w:val="none"/>
            <w:lang w:val="en-US" w:eastAsia="zh-CN"/>
          </w:rPr>
          <w:t>the</w:t>
        </w:r>
      </w:ins>
      <w:ins w:id="46" w:author="JY" w:date="2024-11-07T11:52:26Z">
        <w:r>
          <w:rPr>
            <w:rFonts w:hint="eastAsia"/>
            <w:highlight w:val="none"/>
            <w:lang w:val="en-US" w:eastAsia="zh-CN"/>
          </w:rPr>
          <w:t xml:space="preserve"> </w:t>
        </w:r>
      </w:ins>
      <w:ins w:id="47" w:author="JY" w:date="2024-11-07T11:52:27Z">
        <w:r>
          <w:rPr>
            <w:rFonts w:hint="eastAsia"/>
            <w:highlight w:val="none"/>
            <w:lang w:val="en-US" w:eastAsia="zh-CN"/>
          </w:rPr>
          <w:t>app</w:t>
        </w:r>
      </w:ins>
      <w:ins w:id="48" w:author="JY" w:date="2024-11-07T11:52:28Z">
        <w:r>
          <w:rPr>
            <w:rFonts w:hint="eastAsia"/>
            <w:highlight w:val="none"/>
            <w:lang w:val="en-US" w:eastAsia="zh-CN"/>
          </w:rPr>
          <w:t>licatio</w:t>
        </w:r>
      </w:ins>
      <w:ins w:id="49" w:author="JY" w:date="2024-11-07T11:52:29Z">
        <w:r>
          <w:rPr>
            <w:rFonts w:hint="eastAsia"/>
            <w:highlight w:val="none"/>
            <w:lang w:val="en-US" w:eastAsia="zh-CN"/>
          </w:rPr>
          <w:t>n inf</w:t>
        </w:r>
      </w:ins>
      <w:ins w:id="50" w:author="JY" w:date="2024-11-07T11:52:30Z">
        <w:r>
          <w:rPr>
            <w:rFonts w:hint="eastAsia"/>
            <w:highlight w:val="none"/>
            <w:lang w:val="en-US" w:eastAsia="zh-CN"/>
          </w:rPr>
          <w:t>ormation</w:t>
        </w:r>
      </w:ins>
      <w:ins w:id="51" w:author="JY" w:date="2024-11-07T11:52:41Z">
        <w:r>
          <w:rPr>
            <w:rFonts w:hint="eastAsia"/>
            <w:highlight w:val="none"/>
            <w:lang w:val="en-US" w:eastAsia="zh-CN"/>
          </w:rPr>
          <w:t xml:space="preserve">, </w:t>
        </w:r>
      </w:ins>
      <w:ins w:id="52" w:author="JY" w:date="2024-11-07T11:52:43Z">
        <w:r>
          <w:rPr>
            <w:rFonts w:hint="eastAsia"/>
            <w:highlight w:val="none"/>
            <w:lang w:val="en-US" w:eastAsia="zh-CN"/>
          </w:rPr>
          <w:t>i</w:t>
        </w:r>
      </w:ins>
      <w:ins w:id="53" w:author="JY" w:date="2024-11-07T11:52:44Z">
        <w:r>
          <w:rPr>
            <w:rFonts w:hint="eastAsia"/>
            <w:highlight w:val="none"/>
            <w:lang w:val="en-US" w:eastAsia="zh-CN"/>
          </w:rPr>
          <w:t>.e.</w:t>
        </w:r>
      </w:ins>
      <w:ins w:id="54" w:author="JY" w:date="2024-11-07T11:52:45Z">
        <w:r>
          <w:rPr>
            <w:rFonts w:hint="eastAsia"/>
            <w:highlight w:val="none"/>
            <w:lang w:val="en-US" w:eastAsia="zh-CN"/>
          </w:rPr>
          <w:t xml:space="preserve"> </w:t>
        </w:r>
      </w:ins>
      <w:ins w:id="55" w:author="JY" w:date="2024-11-07T11:52:47Z">
        <w:r>
          <w:rPr>
            <w:rFonts w:hint="eastAsia"/>
            <w:highlight w:val="none"/>
            <w:lang w:val="en-US" w:eastAsia="zh-CN"/>
          </w:rPr>
          <w:t>a</w:t>
        </w:r>
      </w:ins>
      <w:ins w:id="56" w:author="JY" w:date="2024-11-07T11:52:48Z">
        <w:r>
          <w:rPr>
            <w:rFonts w:hint="eastAsia"/>
            <w:highlight w:val="none"/>
            <w:lang w:val="en-US" w:eastAsia="zh-CN"/>
          </w:rPr>
          <w:t>pplica</w:t>
        </w:r>
      </w:ins>
      <w:ins w:id="57" w:author="JY" w:date="2024-11-07T11:52:49Z">
        <w:r>
          <w:rPr>
            <w:rFonts w:hint="eastAsia"/>
            <w:highlight w:val="none"/>
            <w:lang w:val="en-US" w:eastAsia="zh-CN"/>
          </w:rPr>
          <w:t>tion i</w:t>
        </w:r>
      </w:ins>
      <w:ins w:id="58" w:author="JY" w:date="2024-11-07T11:52:51Z">
        <w:r>
          <w:rPr>
            <w:rFonts w:hint="eastAsia"/>
            <w:highlight w:val="none"/>
            <w:lang w:val="en-US" w:eastAsia="zh-CN"/>
          </w:rPr>
          <w:t>d</w:t>
        </w:r>
      </w:ins>
      <w:del w:id="59" w:author="Xueqian Bai r1" w:date="2024-09-25T15:48:00Z">
        <w:r>
          <w:rPr>
            <w:highlight w:val="none"/>
          </w:rPr>
          <w:delText>After receiving the session event notification, the DCSF determines that IMS DC interworking for the requested DC application is required based on the application information, i.e. application id</w:delText>
        </w:r>
      </w:del>
      <w:r>
        <w:rPr>
          <w:highlight w:val="none"/>
        </w:rPr>
        <w:t>. Since the remote network or UE#2 does not support IMS DC, the DCSF changes P2P application DC to P2A application DC.</w:t>
      </w:r>
    </w:p>
    <w:p w14:paraId="6B2C311A">
      <w:pPr>
        <w:pStyle w:val="76"/>
        <w:rPr>
          <w:highlight w:val="none"/>
        </w:rPr>
      </w:pPr>
      <w:r>
        <w:rPr>
          <w:highlight w:val="none"/>
        </w:rPr>
        <w:t>7-16.</w:t>
      </w:r>
      <w:r>
        <w:rPr>
          <w:highlight w:val="none"/>
        </w:rPr>
        <w:tab/>
      </w:r>
      <w:r>
        <w:rPr>
          <w:highlight w:val="none"/>
        </w:rPr>
        <w:t>The DCSF instructs the MF via the IMS AS to establish the media resource of the P2A application DC and the DC connection is established between UE and the DC AS. Steps 5-14 of clause AC.7.2.2 applies.</w:t>
      </w:r>
    </w:p>
    <w:p w14:paraId="14BD4F7A">
      <w:pPr>
        <w:pStyle w:val="76"/>
        <w:rPr>
          <w:highlight w:val="none"/>
        </w:rPr>
      </w:pPr>
      <w:r>
        <w:rPr>
          <w:highlight w:val="none"/>
        </w:rPr>
        <w:t>17.</w:t>
      </w:r>
      <w:r>
        <w:rPr>
          <w:highlight w:val="none"/>
        </w:rPr>
        <w:tab/>
      </w:r>
      <w:r>
        <w:rPr>
          <w:highlight w:val="none"/>
        </w:rPr>
        <w:t>IMS AS sends the event notification to indicate the DC AS that the interworking should be perform for UE#2.</w:t>
      </w:r>
    </w:p>
    <w:p w14:paraId="03EC39EA">
      <w:pPr>
        <w:pStyle w:val="76"/>
        <w:rPr>
          <w:highlight w:val="none"/>
        </w:rPr>
      </w:pPr>
      <w:r>
        <w:rPr>
          <w:highlight w:val="none"/>
        </w:rPr>
        <w:t>18-19.</w:t>
      </w:r>
      <w:r>
        <w:rPr>
          <w:highlight w:val="none"/>
        </w:rPr>
        <w:tab/>
      </w:r>
      <w:r>
        <w:rPr>
          <w:highlight w:val="none"/>
        </w:rPr>
        <w:t>IMS AS sends the re-INVITE to remote network side and UE#2,which does not include bootstrap data channel information and application data channel media components in the SDP.</w:t>
      </w:r>
    </w:p>
    <w:p w14:paraId="6199D2CE">
      <w:pPr>
        <w:pStyle w:val="76"/>
        <w:rPr>
          <w:highlight w:val="none"/>
        </w:rPr>
      </w:pPr>
      <w:r>
        <w:rPr>
          <w:highlight w:val="none"/>
        </w:rPr>
        <w:t>20-29.</w:t>
      </w:r>
      <w:r>
        <w:rPr>
          <w:highlight w:val="none"/>
        </w:rPr>
        <w:tab/>
      </w:r>
      <w:r>
        <w:rPr>
          <w:highlight w:val="none"/>
        </w:rPr>
        <w:t>Steps 17-26 of clause AC.7.2.2 applies.</w:t>
      </w:r>
    </w:p>
    <w:p w14:paraId="25F8D318">
      <w:pPr>
        <w:pStyle w:val="76"/>
        <w:rPr>
          <w:highlight w:val="none"/>
        </w:rPr>
      </w:pPr>
      <w:r>
        <w:rPr>
          <w:highlight w:val="none"/>
        </w:rPr>
        <w:t>30.</w:t>
      </w:r>
      <w:r>
        <w:rPr>
          <w:highlight w:val="none"/>
        </w:rPr>
        <w:tab/>
      </w:r>
      <w:r>
        <w:rPr>
          <w:highlight w:val="none"/>
        </w:rPr>
        <w:t>UE#1 uses the established application data channel to provide DC application specific information to the DC AS, e.g. sends the file (e.g. a photo) which will be sent to UE#2 to DC AS.</w:t>
      </w:r>
    </w:p>
    <w:p w14:paraId="6AAD7DA0">
      <w:pPr>
        <w:pStyle w:val="76"/>
        <w:rPr>
          <w:highlight w:val="none"/>
        </w:rPr>
      </w:pPr>
      <w:r>
        <w:rPr>
          <w:highlight w:val="none"/>
        </w:rPr>
        <w:t>31.</w:t>
      </w:r>
      <w:r>
        <w:rPr>
          <w:highlight w:val="none"/>
        </w:rPr>
        <w:tab/>
      </w:r>
      <w:r>
        <w:rPr>
          <w:highlight w:val="none"/>
        </w:rPr>
        <w:t>DC AS performs interworking actions based on the notification received in step 17 and the data received in step 30.</w:t>
      </w:r>
    </w:p>
    <w:p w14:paraId="18655CB5">
      <w:pPr>
        <w:pStyle w:val="57"/>
        <w:rPr>
          <w:highlight w:val="none"/>
        </w:rPr>
      </w:pPr>
      <w:r>
        <w:rPr>
          <w:highlight w:val="none"/>
        </w:rPr>
        <w:t>NOTE:</w:t>
      </w:r>
      <w:r>
        <w:rPr>
          <w:highlight w:val="none"/>
        </w:rPr>
        <w:tab/>
      </w:r>
      <w:r>
        <w:rPr>
          <w:highlight w:val="none"/>
        </w:rPr>
        <w:t>How the DC AS performs interworking actions to provide DC application specific information to the MTSI UE is out of scope of this specification. The DC AS can for example generate a hyperlink associated with the file received in step 30 and sends the hyperlink to UE#2 through a SMS, where the user of UE#2 can download the file using the hyperlink if he/she wants.</w:t>
      </w:r>
    </w:p>
    <w:p w14:paraId="0A085BA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eastAsia="Malgun Gothic" w:cs="Arial"/>
          <w:color w:val="FF0000"/>
          <w:sz w:val="28"/>
          <w:szCs w:val="28"/>
          <w:highlight w:val="none"/>
          <w:lang w:val="en-US" w:eastAsia="ko-KR"/>
        </w:rPr>
        <w:t>S</w:t>
      </w:r>
      <w:r>
        <w:rPr>
          <w:rFonts w:hint="eastAsia" w:ascii="Arial" w:hAnsi="Arial" w:eastAsia="宋体" w:cs="Arial"/>
          <w:color w:val="FF0000"/>
          <w:sz w:val="28"/>
          <w:szCs w:val="28"/>
          <w:highlight w:val="none"/>
          <w:lang w:val="en-US" w:eastAsia="zh-CN"/>
        </w:rPr>
        <w:t>econd</w:t>
      </w:r>
      <w:r>
        <w:rPr>
          <w:rFonts w:ascii="Arial" w:hAnsi="Arial" w:cs="Arial"/>
          <w:color w:val="FF0000"/>
          <w:sz w:val="28"/>
          <w:szCs w:val="28"/>
          <w:highlight w:val="none"/>
          <w:lang w:val="en-US" w:eastAsia="zh-CN"/>
        </w:rPr>
        <w:t xml:space="preserve"> </w:t>
      </w:r>
      <w:r>
        <w:rPr>
          <w:rFonts w:ascii="Arial" w:hAnsi="Arial" w:cs="Arial"/>
          <w:color w:val="FF0000"/>
          <w:sz w:val="28"/>
          <w:szCs w:val="28"/>
          <w:highlight w:val="none"/>
          <w:lang w:val="en-US"/>
        </w:rPr>
        <w:t>change * * * *</w:t>
      </w:r>
    </w:p>
    <w:p w14:paraId="509FB806">
      <w:pPr>
        <w:pStyle w:val="5"/>
        <w:rPr>
          <w:highlight w:val="none"/>
        </w:rPr>
      </w:pPr>
      <w:bookmarkStart w:id="6" w:name="_Toc177650419"/>
      <w:r>
        <w:rPr>
          <w:highlight w:val="none"/>
        </w:rPr>
        <w:t>AA.2.4.3.2</w:t>
      </w:r>
      <w:r>
        <w:rPr>
          <w:highlight w:val="none"/>
        </w:rPr>
        <w:tab/>
      </w:r>
      <w:r>
        <w:rPr>
          <w:highlight w:val="none"/>
        </w:rPr>
        <w:t>Nimsas_MediaControl_MediaInstruction service operation</w:t>
      </w:r>
      <w:bookmarkEnd w:id="6"/>
    </w:p>
    <w:p w14:paraId="31A18A8B">
      <w:pPr>
        <w:rPr>
          <w:highlight w:val="none"/>
        </w:rPr>
      </w:pPr>
      <w:r>
        <w:rPr>
          <w:b/>
          <w:bCs/>
          <w:highlight w:val="none"/>
        </w:rPr>
        <w:t>Service operation name:</w:t>
      </w:r>
      <w:r>
        <w:rPr>
          <w:highlight w:val="none"/>
        </w:rPr>
        <w:t xml:space="preserve"> Nimsas_MediaControl_MediaInstruction</w:t>
      </w:r>
    </w:p>
    <w:p w14:paraId="1A62DFE5">
      <w:pPr>
        <w:rPr>
          <w:highlight w:val="none"/>
        </w:rPr>
      </w:pPr>
      <w:r>
        <w:rPr>
          <w:b/>
          <w:bCs/>
          <w:highlight w:val="none"/>
        </w:rPr>
        <w:t>Description:</w:t>
      </w:r>
      <w:r>
        <w:rPr>
          <w:highlight w:val="none"/>
        </w:rPr>
        <w:t xml:space="preserve"> This operation provides instructions to the IMS AS for all media flows a consumer wants to control based on its policies for the received IMS session event, and that may require resource reservation in media resource e.g. MF.</w:t>
      </w:r>
    </w:p>
    <w:p w14:paraId="085E09F1">
      <w:pPr>
        <w:rPr>
          <w:highlight w:val="none"/>
        </w:rPr>
      </w:pPr>
      <w:r>
        <w:rPr>
          <w:highlight w:val="none"/>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338F170">
      <w:pPr>
        <w:rPr>
          <w:highlight w:val="none"/>
        </w:rPr>
      </w:pPr>
      <w:r>
        <w:rPr>
          <w:b/>
          <w:bCs/>
          <w:highlight w:val="none"/>
        </w:rPr>
        <w:t>Inputs, Required:</w:t>
      </w:r>
      <w:r>
        <w:rPr>
          <w:highlight w:val="none"/>
        </w:rPr>
        <w:t xml:space="preserve"> Session ID, Media instruction set</w:t>
      </w:r>
    </w:p>
    <w:p w14:paraId="067897D5">
      <w:pPr>
        <w:rPr>
          <w:highlight w:val="none"/>
        </w:rPr>
      </w:pPr>
      <w:r>
        <w:rPr>
          <w:highlight w:val="none"/>
        </w:rPr>
        <w:t>Session ID specifies the IMS session for which the MediaInstruction operation applies.</w:t>
      </w:r>
    </w:p>
    <w:p w14:paraId="1969C9C2">
      <w:pPr>
        <w:rPr>
          <w:highlight w:val="none"/>
        </w:rPr>
      </w:pPr>
      <w:r>
        <w:rPr>
          <w:highlight w:val="none"/>
        </w:rPr>
        <w:t>Media instruction set includes a set of instructions for each media flow to control. Each instruction includes:</w:t>
      </w:r>
    </w:p>
    <w:p w14:paraId="6DBA6FCF">
      <w:pPr>
        <w:pStyle w:val="76"/>
        <w:rPr>
          <w:highlight w:val="none"/>
        </w:rPr>
      </w:pPr>
      <w:r>
        <w:rPr>
          <w:highlight w:val="none"/>
        </w:rPr>
        <w:t>-</w:t>
      </w:r>
      <w:r>
        <w:rPr>
          <w:highlight w:val="none"/>
        </w:rPr>
        <w:tab/>
      </w:r>
      <w:r>
        <w:rPr>
          <w:highlight w:val="none"/>
        </w:rPr>
        <w:t>media ID: used by the producer (IMS AS) and the consumer for referencing purposes. The consumer reuses the media ID it received from the IMS AS for referencing the same media. This field will be null for instructions related to originating new media.</w:t>
      </w:r>
    </w:p>
    <w:p w14:paraId="45119459">
      <w:pPr>
        <w:pStyle w:val="76"/>
        <w:rPr>
          <w:highlight w:val="none"/>
        </w:rPr>
      </w:pPr>
      <w:r>
        <w:rPr>
          <w:highlight w:val="none"/>
        </w:rPr>
        <w:t>-</w:t>
      </w:r>
      <w:r>
        <w:rPr>
          <w:highlight w:val="none"/>
        </w:rPr>
        <w:tab/>
      </w:r>
      <w:r>
        <w:rPr>
          <w:highlight w:val="none"/>
        </w:rPr>
        <w:t>Media resource capability: Identify the Media Resource capabilities the Media instruction is intended for (e.g. DC, AR).</w:t>
      </w:r>
    </w:p>
    <w:p w14:paraId="154ED303">
      <w:pPr>
        <w:pStyle w:val="76"/>
        <w:rPr>
          <w:highlight w:val="none"/>
        </w:rPr>
      </w:pPr>
      <w:r>
        <w:rPr>
          <w:highlight w:val="none"/>
        </w:rPr>
        <w:t>-</w:t>
      </w:r>
      <w:r>
        <w:rPr>
          <w:highlight w:val="none"/>
        </w:rPr>
        <w:tab/>
      </w:r>
      <w:r>
        <w:rPr>
          <w:highlight w:val="none"/>
        </w:rPr>
        <w:t>Media instruction: includes instructions to the producer (IMS AS) for handling the media. The following instructions are supported:</w:t>
      </w:r>
    </w:p>
    <w:p w14:paraId="551507FB">
      <w:pPr>
        <w:pStyle w:val="77"/>
        <w:rPr>
          <w:highlight w:val="none"/>
        </w:rPr>
      </w:pPr>
      <w:r>
        <w:rPr>
          <w:highlight w:val="none"/>
        </w:rPr>
        <w:t>-</w:t>
      </w:r>
      <w:r>
        <w:rPr>
          <w:highlight w:val="none"/>
        </w:rPr>
        <w:tab/>
      </w:r>
      <w:r>
        <w:rPr>
          <w:highlight w:val="none"/>
        </w:rPr>
        <w:t>"TerminateMedia": Terminate the offered media descriptor of the UE in the mediaResource, i.e. this media descriptor will not be exposed to the other UE.</w:t>
      </w:r>
    </w:p>
    <w:p w14:paraId="0976C198">
      <w:pPr>
        <w:pStyle w:val="77"/>
        <w:rPr>
          <w:highlight w:val="none"/>
        </w:rPr>
      </w:pPr>
      <w:r>
        <w:rPr>
          <w:highlight w:val="none"/>
        </w:rPr>
        <w:t>-</w:t>
      </w:r>
      <w:r>
        <w:rPr>
          <w:highlight w:val="none"/>
        </w:rPr>
        <w:tab/>
      </w:r>
      <w:r>
        <w:rPr>
          <w:highlight w:val="none"/>
        </w:rPr>
        <w:t>"OriginateMedia": Originate and offer a media descriptor from the mediaResource to the UE. The media ID representing the new media flow will be provided by the IMS AS in the response.</w:t>
      </w:r>
    </w:p>
    <w:p w14:paraId="7692A60D">
      <w:pPr>
        <w:pStyle w:val="77"/>
        <w:rPr>
          <w:highlight w:val="none"/>
        </w:rPr>
      </w:pPr>
      <w:r>
        <w:rPr>
          <w:highlight w:val="none"/>
        </w:rPr>
        <w:t>-</w:t>
      </w:r>
      <w:r>
        <w:rPr>
          <w:highlight w:val="none"/>
        </w:rPr>
        <w:tab/>
      </w:r>
      <w:r>
        <w:rPr>
          <w:highlight w:val="none"/>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73AB699E">
      <w:pPr>
        <w:pStyle w:val="77"/>
        <w:rPr>
          <w:highlight w:val="none"/>
        </w:rPr>
      </w:pPr>
      <w:r>
        <w:rPr>
          <w:highlight w:val="none"/>
        </w:rPr>
        <w:t>-</w:t>
      </w:r>
      <w:r>
        <w:rPr>
          <w:highlight w:val="none"/>
        </w:rPr>
        <w:tab/>
      </w:r>
      <w:r>
        <w:rPr>
          <w:highlight w:val="none"/>
        </w:rPr>
        <w:t>"UpdateMedia": Update a media flow of the mediaResource previously allocated by the instructions "TerminateMedia", "OriginateMedia" and "TerminateAndOriginateMedia"</w:t>
      </w:r>
    </w:p>
    <w:p w14:paraId="67010333">
      <w:pPr>
        <w:pStyle w:val="77"/>
        <w:rPr>
          <w:highlight w:val="none"/>
        </w:rPr>
      </w:pPr>
      <w:r>
        <w:rPr>
          <w:highlight w:val="none"/>
        </w:rPr>
        <w:t>-</w:t>
      </w:r>
      <w:r>
        <w:rPr>
          <w:highlight w:val="none"/>
        </w:rPr>
        <w:tab/>
      </w:r>
      <w:r>
        <w:rPr>
          <w:highlight w:val="none"/>
        </w:rPr>
        <w:t>"DeleteMedia": Delete a media flow of the mediaResource previously allocated by the instructions "TerminateMedia", "OriginateMedia" and "TerminateAndOriginateMedia".</w:t>
      </w:r>
    </w:p>
    <w:p w14:paraId="5CA872D7">
      <w:pPr>
        <w:pStyle w:val="77"/>
        <w:rPr>
          <w:highlight w:val="none"/>
        </w:rPr>
      </w:pPr>
      <w:r>
        <w:rPr>
          <w:highlight w:val="none"/>
        </w:rPr>
        <w:t>-</w:t>
      </w:r>
      <w:r>
        <w:rPr>
          <w:highlight w:val="none"/>
        </w:rPr>
        <w:tab/>
      </w:r>
      <w:r>
        <w:rPr>
          <w:highlight w:val="none"/>
        </w:rPr>
        <w:t>"RejectMedia": Remove an offered media flow, i.e. the offered media descriptor will be removed both from the offer sent to the remote UE and from the answer returned to the initiator of the offer.</w:t>
      </w:r>
    </w:p>
    <w:p w14:paraId="50AE3530">
      <w:pPr>
        <w:pStyle w:val="76"/>
        <w:rPr>
          <w:highlight w:val="none"/>
        </w:rPr>
      </w:pPr>
      <w:r>
        <w:rPr>
          <w:highlight w:val="none"/>
        </w:rPr>
        <w:t>-</w:t>
      </w:r>
      <w:r>
        <w:rPr>
          <w:highlight w:val="none"/>
        </w:rPr>
        <w:tab/>
      </w:r>
      <w:r>
        <w:rPr>
          <w:highlight w:val="none"/>
        </w:rPr>
        <w:t>DC Media Specification: Description of additional media specification information needed for data channel media stream from application layer, which includes:</w:t>
      </w:r>
    </w:p>
    <w:p w14:paraId="37F8CBA5">
      <w:pPr>
        <w:pStyle w:val="77"/>
        <w:rPr>
          <w:highlight w:val="none"/>
        </w:rPr>
      </w:pPr>
      <w:r>
        <w:rPr>
          <w:highlight w:val="none"/>
        </w:rPr>
        <w:t>-</w:t>
      </w:r>
      <w:r>
        <w:rPr>
          <w:highlight w:val="none"/>
        </w:rPr>
        <w:tab/>
      </w:r>
      <w:r>
        <w:rPr>
          <w:highlight w:val="none"/>
        </w:rPr>
        <w:t>Media proxy configuration (HTTP or UDP) applicable to the media flow.</w:t>
      </w:r>
    </w:p>
    <w:p w14:paraId="35EC4333">
      <w:pPr>
        <w:pStyle w:val="77"/>
        <w:rPr>
          <w:highlight w:val="none"/>
        </w:rPr>
      </w:pPr>
      <w:r>
        <w:rPr>
          <w:highlight w:val="none"/>
        </w:rPr>
        <w:t>-</w:t>
      </w:r>
      <w:r>
        <w:rPr>
          <w:highlight w:val="none"/>
        </w:rPr>
        <w:tab/>
      </w:r>
      <w:r>
        <w:rPr>
          <w:highlight w:val="none"/>
        </w:rPr>
        <w:t>MDC1/MDC2 media endpoint address of the application layer.</w:t>
      </w:r>
    </w:p>
    <w:p w14:paraId="0C9C6313">
      <w:pPr>
        <w:pStyle w:val="77"/>
        <w:rPr>
          <w:highlight w:val="none"/>
        </w:rPr>
      </w:pPr>
      <w:r>
        <w:rPr>
          <w:highlight w:val="none"/>
        </w:rPr>
        <w:t>-</w:t>
      </w:r>
      <w:r>
        <w:rPr>
          <w:highlight w:val="none"/>
        </w:rPr>
        <w:tab/>
      </w:r>
      <w:r>
        <w:rPr>
          <w:highlight w:val="none"/>
        </w:rPr>
        <w:t>Replacement HTTP URL per stream ID allocated by the application layer representing the application list (e.g. graphical user interface) provided to the IMS subscriber via the MDC1 interface.</w:t>
      </w:r>
    </w:p>
    <w:p w14:paraId="349B0DBE">
      <w:pPr>
        <w:pStyle w:val="77"/>
        <w:rPr>
          <w:highlight w:val="none"/>
        </w:rPr>
      </w:pPr>
      <w:r>
        <w:rPr>
          <w:highlight w:val="none"/>
        </w:rPr>
        <w:t>-</w:t>
      </w:r>
      <w:r>
        <w:rPr>
          <w:highlight w:val="none"/>
        </w:rPr>
        <w:tab/>
      </w:r>
      <w:r>
        <w:rPr>
          <w:highlight w:val="none"/>
        </w:rPr>
        <w:t>Data Channel Mapping and Configuration information when originating/terminating data channel media flows on the Mb interface.</w:t>
      </w:r>
    </w:p>
    <w:p w14:paraId="35CE9A20">
      <w:pPr>
        <w:pStyle w:val="76"/>
        <w:rPr>
          <w:highlight w:val="none"/>
        </w:rPr>
      </w:pPr>
      <w:r>
        <w:rPr>
          <w:highlight w:val="none"/>
        </w:rPr>
        <w:t>-</w:t>
      </w:r>
      <w:r>
        <w:rPr>
          <w:highlight w:val="none"/>
        </w:rPr>
        <w:tab/>
      </w:r>
      <w:r>
        <w:rPr>
          <w:highlight w:val="none"/>
        </w:rPr>
        <w:t>AR Media Specification: Description of additional media specification information needed for AR communication services from application layer, which includes:</w:t>
      </w:r>
    </w:p>
    <w:p w14:paraId="68B14C71">
      <w:pPr>
        <w:pStyle w:val="77"/>
        <w:rPr>
          <w:highlight w:val="none"/>
        </w:rPr>
      </w:pPr>
      <w:r>
        <w:rPr>
          <w:highlight w:val="none"/>
        </w:rPr>
        <w:t>-</w:t>
      </w:r>
      <w:r>
        <w:rPr>
          <w:highlight w:val="none"/>
        </w:rPr>
        <w:tab/>
      </w:r>
      <w:r>
        <w:rPr>
          <w:highlight w:val="none"/>
        </w:rPr>
        <w:t>Media Processing Specification: It specifies the how the media stream should be processed.</w:t>
      </w:r>
    </w:p>
    <w:p w14:paraId="77A57EF4">
      <w:pPr>
        <w:pStyle w:val="57"/>
        <w:rPr>
          <w:highlight w:val="none"/>
        </w:rPr>
      </w:pPr>
      <w:r>
        <w:rPr>
          <w:highlight w:val="none"/>
        </w:rPr>
        <w:t>NOTE:</w:t>
      </w:r>
      <w:r>
        <w:rPr>
          <w:highlight w:val="none"/>
        </w:rPr>
        <w:tab/>
      </w:r>
      <w:r>
        <w:rPr>
          <w:highlight w:val="none"/>
        </w:rPr>
        <w:t>DC Media Specification and AR Media Specification are optional depending on the scenario and media type.</w:t>
      </w:r>
    </w:p>
    <w:p w14:paraId="335FCEE7">
      <w:pPr>
        <w:rPr>
          <w:ins w:id="60" w:author="Huawei" w:date="2024-11-05T17:07:00Z"/>
          <w:highlight w:val="none"/>
        </w:rPr>
      </w:pPr>
      <w:r>
        <w:rPr>
          <w:b/>
          <w:bCs/>
          <w:highlight w:val="none"/>
        </w:rPr>
        <w:t>Inputs, Conditional:</w:t>
      </w:r>
      <w:r>
        <w:rPr>
          <w:highlight w:val="none"/>
        </w:rPr>
        <w:t xml:space="preserve"> </w:t>
      </w:r>
      <w:ins w:id="61" w:author="CMCC" w:date="2024-11-08T19:07:54Z">
        <w:r>
          <w:rPr>
            <w:highlight w:val="none"/>
          </w:rPr>
          <w:t>Interworking I</w:t>
        </w:r>
      </w:ins>
      <w:ins w:id="62" w:author="CMCC" w:date="2024-11-08T19:07:54Z">
        <w:r>
          <w:rPr>
            <w:highlight w:val="none"/>
            <w:lang w:eastAsia="zh-CN"/>
          </w:rPr>
          <w:t>nstruction</w:t>
        </w:r>
      </w:ins>
      <w:ins w:id="63" w:author="CMCC" w:date="2024-11-08T19:07:54Z">
        <w:r>
          <w:rPr>
            <w:highlight w:val="none"/>
          </w:rPr>
          <w:t>.</w:t>
        </w:r>
      </w:ins>
      <w:del w:id="64" w:author="CMCC" w:date="2024-11-08T19:08:06Z">
        <w:r>
          <w:rPr>
            <w:highlight w:val="none"/>
          </w:rPr>
          <w:delText>None.</w:delText>
        </w:r>
      </w:del>
    </w:p>
    <w:p w14:paraId="5BF22E82">
      <w:pPr>
        <w:rPr>
          <w:rFonts w:hint="eastAsia" w:eastAsiaTheme="minorEastAsia"/>
          <w:highlight w:val="none"/>
          <w:lang w:val="en-US" w:eastAsia="zh-CN"/>
        </w:rPr>
      </w:pPr>
      <w:ins w:id="65" w:author="CMCC" w:date="2024-11-08T19:07:46Z">
        <w:r>
          <w:rPr>
            <w:highlight w:val="none"/>
          </w:rPr>
          <w:t>Interworking instruction instructs how the DC interworking transcoding should be performed for this session. This parameter is required when the session is an interworking session</w:t>
        </w:r>
      </w:ins>
      <w:ins w:id="66" w:author="CMCC" w:date="2024-11-08T19:07:48Z">
        <w:r>
          <w:rPr>
            <w:rFonts w:hint="eastAsia"/>
            <w:highlight w:val="none"/>
            <w:lang w:val="en-US" w:eastAsia="zh-CN"/>
          </w:rPr>
          <w:t>.</w:t>
        </w:r>
      </w:ins>
    </w:p>
    <w:p w14:paraId="42877100">
      <w:pPr>
        <w:rPr>
          <w:highlight w:val="none"/>
        </w:rPr>
      </w:pPr>
      <w:r>
        <w:rPr>
          <w:b/>
          <w:bCs/>
          <w:highlight w:val="none"/>
        </w:rPr>
        <w:t>Inputs, Optional:</w:t>
      </w:r>
      <w:r>
        <w:rPr>
          <w:highlight w:val="none"/>
        </w:rPr>
        <w:t xml:space="preserve"> None.</w:t>
      </w:r>
      <w:ins w:id="67" w:author="Huawei" w:date="2024-11-05T17:05:00Z">
        <w:r>
          <w:rPr>
            <w:highlight w:val="none"/>
          </w:rPr>
          <w:t xml:space="preserve"> </w:t>
        </w:r>
      </w:ins>
    </w:p>
    <w:p w14:paraId="7E577159">
      <w:pPr>
        <w:rPr>
          <w:highlight w:val="none"/>
        </w:rPr>
      </w:pPr>
      <w:r>
        <w:rPr>
          <w:b/>
          <w:bCs/>
          <w:highlight w:val="none"/>
        </w:rPr>
        <w:t>Outputs, Required:</w:t>
      </w:r>
      <w:r>
        <w:rPr>
          <w:highlight w:val="none"/>
        </w:rPr>
        <w:t xml:space="preserve"> operation result indication.</w:t>
      </w:r>
    </w:p>
    <w:p w14:paraId="427ACB67">
      <w:pPr>
        <w:rPr>
          <w:highlight w:val="none"/>
        </w:rPr>
      </w:pPr>
      <w:r>
        <w:rPr>
          <w:b/>
          <w:bCs/>
          <w:highlight w:val="none"/>
        </w:rPr>
        <w:t>Outputs, Optional:</w:t>
      </w:r>
      <w:r>
        <w:rPr>
          <w:highlight w:val="none"/>
        </w:rPr>
        <w:t xml:space="preserve"> media resource information set:</w:t>
      </w:r>
    </w:p>
    <w:p w14:paraId="551018F9">
      <w:pPr>
        <w:rPr>
          <w:highlight w:val="none"/>
        </w:rPr>
      </w:pPr>
      <w:r>
        <w:rPr>
          <w:highlight w:val="none"/>
        </w:rP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36D69EC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eastAsia="宋体" w:cs="Arial"/>
          <w:color w:val="FF0000"/>
          <w:sz w:val="28"/>
          <w:szCs w:val="28"/>
          <w:highlight w:val="none"/>
          <w:lang w:val="en-US" w:eastAsia="zh-CN"/>
        </w:rPr>
        <w:t>Third</w:t>
      </w:r>
      <w:r>
        <w:rPr>
          <w:rFonts w:ascii="Arial" w:hAnsi="Arial" w:cs="Arial"/>
          <w:color w:val="FF0000"/>
          <w:sz w:val="28"/>
          <w:szCs w:val="28"/>
          <w:highlight w:val="none"/>
          <w:lang w:val="en-US" w:eastAsia="zh-CN"/>
        </w:rPr>
        <w:t xml:space="preserve"> </w:t>
      </w:r>
      <w:r>
        <w:rPr>
          <w:rFonts w:ascii="Arial" w:hAnsi="Arial" w:cs="Arial"/>
          <w:color w:val="FF0000"/>
          <w:sz w:val="28"/>
          <w:szCs w:val="28"/>
          <w:highlight w:val="none"/>
          <w:lang w:val="en-US"/>
        </w:rPr>
        <w:t>change * * * *</w:t>
      </w:r>
    </w:p>
    <w:p w14:paraId="39333A0B">
      <w:pPr>
        <w:pStyle w:val="5"/>
        <w:rPr>
          <w:highlight w:val="none"/>
        </w:rPr>
      </w:pPr>
      <w:bookmarkStart w:id="7" w:name="_Toc177650429"/>
      <w:r>
        <w:rPr>
          <w:highlight w:val="none"/>
        </w:rPr>
        <w:t>AA.2.5.2.2</w:t>
      </w:r>
      <w:r>
        <w:rPr>
          <w:highlight w:val="none"/>
        </w:rPr>
        <w:tab/>
      </w:r>
      <w:r>
        <w:rPr>
          <w:highlight w:val="none"/>
        </w:rPr>
        <w:t>Nmf_MRM_Create service operation</w:t>
      </w:r>
      <w:bookmarkEnd w:id="7"/>
    </w:p>
    <w:p w14:paraId="1CA9E61C">
      <w:pPr>
        <w:rPr>
          <w:highlight w:val="none"/>
        </w:rPr>
      </w:pPr>
      <w:r>
        <w:rPr>
          <w:b/>
          <w:bCs/>
          <w:highlight w:val="none"/>
        </w:rPr>
        <w:t>Service operation name:</w:t>
      </w:r>
      <w:r>
        <w:rPr>
          <w:highlight w:val="none"/>
        </w:rPr>
        <w:t xml:space="preserve"> Nmf_MRM_Create</w:t>
      </w:r>
    </w:p>
    <w:p w14:paraId="67A4D51E">
      <w:pPr>
        <w:rPr>
          <w:highlight w:val="none"/>
        </w:rPr>
      </w:pPr>
      <w:r>
        <w:rPr>
          <w:b/>
          <w:bCs/>
          <w:highlight w:val="none"/>
        </w:rPr>
        <w:t>Description:</w:t>
      </w:r>
      <w:r>
        <w:rPr>
          <w:highlight w:val="none"/>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AC4212C">
      <w:pPr>
        <w:rPr>
          <w:highlight w:val="none"/>
        </w:rPr>
      </w:pPr>
      <w:r>
        <w:rPr>
          <w:b/>
          <w:bCs/>
          <w:highlight w:val="none"/>
        </w:rPr>
        <w:t>Inputs, Required:</w:t>
      </w:r>
      <w:r>
        <w:rPr>
          <w:highlight w:val="none"/>
        </w:rPr>
        <w:t xml:space="preserve"> List of Media Termination Descriptors.</w:t>
      </w:r>
    </w:p>
    <w:p w14:paraId="575C83EB">
      <w:pPr>
        <w:rPr>
          <w:highlight w:val="none"/>
        </w:rPr>
      </w:pPr>
      <w:r>
        <w:rPr>
          <w:highlight w:val="none"/>
        </w:rPr>
        <w:t xml:space="preserve">Each Media Termination Descriptor of the list includes:   </w:t>
      </w:r>
    </w:p>
    <w:p w14:paraId="1111CC1E">
      <w:pPr>
        <w:pStyle w:val="76"/>
        <w:rPr>
          <w:highlight w:val="none"/>
        </w:rPr>
      </w:pPr>
      <w:r>
        <w:rPr>
          <w:highlight w:val="none"/>
        </w:rPr>
        <w:t>-</w:t>
      </w:r>
      <w:r>
        <w:rPr>
          <w:highlight w:val="none"/>
        </w:rPr>
        <w:tab/>
      </w:r>
      <w:r>
        <w:rPr>
          <w:highlight w:val="none"/>
        </w:rPr>
        <w:t>Termination ID: A unique identity of the termination within the media context resource. The identity is allocated by the producer and must be set to value 'null' by the consumer when adding a termination to a context.</w:t>
      </w:r>
    </w:p>
    <w:p w14:paraId="29954DBA">
      <w:pPr>
        <w:pStyle w:val="76"/>
        <w:rPr>
          <w:highlight w:val="none"/>
        </w:rPr>
      </w:pPr>
      <w:r>
        <w:rPr>
          <w:highlight w:val="none"/>
        </w:rPr>
        <w:t>-</w:t>
      </w:r>
      <w:r>
        <w:rPr>
          <w:highlight w:val="none"/>
        </w:rPr>
        <w:tab/>
      </w:r>
      <w:r>
        <w:rPr>
          <w:highlight w:val="none"/>
        </w:rPr>
        <w:t>List of Media Stream Descriptors belonging to the Termination.</w:t>
      </w:r>
    </w:p>
    <w:p w14:paraId="5FF17B92">
      <w:pPr>
        <w:rPr>
          <w:highlight w:val="none"/>
        </w:rPr>
      </w:pPr>
      <w:r>
        <w:rPr>
          <w:highlight w:val="none"/>
        </w:rPr>
        <w:t>Each Media Stream Descriptor of the list includes:</w:t>
      </w:r>
    </w:p>
    <w:p w14:paraId="13BDAB0E">
      <w:pPr>
        <w:pStyle w:val="76"/>
        <w:rPr>
          <w:highlight w:val="none"/>
        </w:rPr>
      </w:pPr>
      <w:r>
        <w:rPr>
          <w:highlight w:val="none"/>
        </w:rPr>
        <w:t>-</w:t>
      </w:r>
      <w:r>
        <w:rPr>
          <w:highlight w:val="none"/>
        </w:rPr>
        <w:tab/>
      </w:r>
      <w:r>
        <w:rPr>
          <w:highlight w:val="none"/>
        </w:rPr>
        <w:t>Media ID: A unique identity of the media stream within the media context instance. The MediaID value is set by the consumer.</w:t>
      </w:r>
    </w:p>
    <w:p w14:paraId="491BB6E0">
      <w:pPr>
        <w:pStyle w:val="57"/>
        <w:rPr>
          <w:highlight w:val="none"/>
        </w:rPr>
      </w:pPr>
      <w:r>
        <w:rPr>
          <w:highlight w:val="none"/>
        </w:rPr>
        <w:t>NOTE 1:</w:t>
      </w:r>
      <w:r>
        <w:rPr>
          <w:highlight w:val="none"/>
        </w:rPr>
        <w:tab/>
      </w:r>
      <w:r>
        <w:rPr>
          <w:highlight w:val="none"/>
        </w:rPr>
        <w:t>Different Termination IDs associated with the same Media ID represent the media stream flow for data forwarding.</w:t>
      </w:r>
    </w:p>
    <w:p w14:paraId="121463AB">
      <w:pPr>
        <w:pStyle w:val="76"/>
        <w:rPr>
          <w:highlight w:val="none"/>
        </w:rPr>
      </w:pPr>
      <w:r>
        <w:rPr>
          <w:highlight w:val="none"/>
        </w:rPr>
        <w:t>-</w:t>
      </w:r>
      <w:r>
        <w:rPr>
          <w:highlight w:val="none"/>
        </w:rPr>
        <w:tab/>
      </w:r>
      <w:r>
        <w:rPr>
          <w:highlight w:val="none"/>
        </w:rPr>
        <w:t>Remote Mb Specification: Media Specification specifying SDP parameters of a remote media endpoint e.g. media stream IP address and ports allocated at the remote UE.</w:t>
      </w:r>
    </w:p>
    <w:p w14:paraId="2C509673">
      <w:pPr>
        <w:pStyle w:val="57"/>
        <w:rPr>
          <w:highlight w:val="none"/>
        </w:rPr>
      </w:pPr>
      <w:r>
        <w:rPr>
          <w:highlight w:val="none"/>
        </w:rPr>
        <w:t>NOTE 2:</w:t>
      </w:r>
      <w:r>
        <w:rPr>
          <w:highlight w:val="none"/>
        </w:rPr>
        <w:tab/>
      </w:r>
      <w:r>
        <w:rPr>
          <w:highlight w:val="none"/>
        </w:rPr>
        <w:t>In the case of reserving termination media resource before receiving media negotiation information from the UE, Remote Mb Specification should be set to Null.</w:t>
      </w:r>
    </w:p>
    <w:p w14:paraId="42C586C3">
      <w:pPr>
        <w:pStyle w:val="76"/>
        <w:rPr>
          <w:highlight w:val="none"/>
        </w:rPr>
      </w:pPr>
      <w:r>
        <w:rPr>
          <w:highlight w:val="none"/>
        </w:rPr>
        <w:t>-</w:t>
      </w:r>
      <w:r>
        <w:rPr>
          <w:highlight w:val="none"/>
        </w:rPr>
        <w:tab/>
      </w:r>
      <w:r>
        <w:rPr>
          <w:highlight w:val="none"/>
        </w:rPr>
        <w:t>Media Function Specifications: Specification of the media function to be applied to the media stream as requested by the application layer, which includes:</w:t>
      </w:r>
    </w:p>
    <w:p w14:paraId="0AEF1F63">
      <w:pPr>
        <w:pStyle w:val="77"/>
        <w:rPr>
          <w:highlight w:val="none"/>
        </w:rPr>
      </w:pPr>
      <w:r>
        <w:rPr>
          <w:highlight w:val="none"/>
        </w:rPr>
        <w:t>-</w:t>
      </w:r>
      <w:r>
        <w:rPr>
          <w:highlight w:val="none"/>
        </w:rPr>
        <w:tab/>
      </w:r>
      <w:r>
        <w:rPr>
          <w:highlight w:val="none"/>
        </w:rPr>
        <w:t>Media Function Type: The value is set based on the type of the media function required, e.g. "DC media function type or AR media function type.</w:t>
      </w:r>
    </w:p>
    <w:p w14:paraId="24C2E87D">
      <w:pPr>
        <w:pStyle w:val="77"/>
        <w:rPr>
          <w:highlight w:val="none"/>
        </w:rPr>
      </w:pPr>
      <w:r>
        <w:rPr>
          <w:highlight w:val="none"/>
        </w:rPr>
        <w:t>-</w:t>
      </w:r>
      <w:r>
        <w:rPr>
          <w:highlight w:val="none"/>
        </w:rPr>
        <w:tab/>
      </w:r>
      <w:r>
        <w:rPr>
          <w:highlight w:val="none"/>
        </w:rPr>
        <w:t>Media Function Description: Application specific media function description specifying how the media function shall handle and process the media stream. Data content depends on type of media function.</w:t>
      </w:r>
    </w:p>
    <w:p w14:paraId="5B365457">
      <w:pPr>
        <w:pStyle w:val="76"/>
        <w:rPr>
          <w:highlight w:val="none"/>
        </w:rPr>
      </w:pPr>
      <w:r>
        <w:rPr>
          <w:highlight w:val="none"/>
        </w:rPr>
        <w:tab/>
      </w:r>
      <w:r>
        <w:rPr>
          <w:highlight w:val="none"/>
        </w:rPr>
        <w:t>If the Media Function Type is "DC Media Function", then the Media Function Description incudes:</w:t>
      </w:r>
    </w:p>
    <w:p w14:paraId="6705CEC5">
      <w:pPr>
        <w:pStyle w:val="77"/>
        <w:rPr>
          <w:highlight w:val="none"/>
        </w:rPr>
      </w:pPr>
      <w:r>
        <w:rPr>
          <w:highlight w:val="none"/>
        </w:rPr>
        <w:t>-</w:t>
      </w:r>
      <w:r>
        <w:rPr>
          <w:highlight w:val="none"/>
        </w:rPr>
        <w:tab/>
      </w:r>
      <w:r>
        <w:rPr>
          <w:highlight w:val="none"/>
        </w:rPr>
        <w:t>Media proxy configuration (HTTP or UDP) applicable to the media flow.</w:t>
      </w:r>
    </w:p>
    <w:p w14:paraId="63DF377D">
      <w:pPr>
        <w:pStyle w:val="77"/>
        <w:rPr>
          <w:highlight w:val="none"/>
        </w:rPr>
      </w:pPr>
      <w:r>
        <w:rPr>
          <w:highlight w:val="none"/>
        </w:rPr>
        <w:t>-</w:t>
      </w:r>
      <w:r>
        <w:rPr>
          <w:highlight w:val="none"/>
        </w:rPr>
        <w:tab/>
      </w:r>
      <w:r>
        <w:rPr>
          <w:highlight w:val="none"/>
        </w:rPr>
        <w:t>Remote MDC1/MDC2 media endpoint address.</w:t>
      </w:r>
    </w:p>
    <w:p w14:paraId="48611F08">
      <w:pPr>
        <w:pStyle w:val="77"/>
        <w:rPr>
          <w:highlight w:val="none"/>
        </w:rPr>
      </w:pPr>
      <w:r>
        <w:rPr>
          <w:highlight w:val="none"/>
        </w:rPr>
        <w:t>-</w:t>
      </w:r>
      <w:r>
        <w:rPr>
          <w:highlight w:val="none"/>
        </w:rPr>
        <w:tab/>
      </w:r>
      <w:r>
        <w:rPr>
          <w:highlight w:val="none"/>
        </w:rPr>
        <w:t>Replacement HTTP URL per Stream ID allocated by the application layer representing the application list (e.g. graphical user interface) provided to the IMS subscriber via the MDC1 interface.</w:t>
      </w:r>
    </w:p>
    <w:p w14:paraId="22336D4A">
      <w:pPr>
        <w:pStyle w:val="77"/>
        <w:rPr>
          <w:highlight w:val="none"/>
        </w:rPr>
      </w:pPr>
      <w:r>
        <w:rPr>
          <w:highlight w:val="none"/>
        </w:rPr>
        <w:t>-</w:t>
      </w:r>
      <w:r>
        <w:rPr>
          <w:highlight w:val="none"/>
        </w:rPr>
        <w:tab/>
      </w:r>
      <w:r>
        <w:rPr>
          <w:highlight w:val="none"/>
        </w:rPr>
        <w:t>Data Channel Mapping and Configuration information when originating/terminating data channel media flows on the Mb interface.</w:t>
      </w:r>
    </w:p>
    <w:p w14:paraId="19312A6E">
      <w:pPr>
        <w:pStyle w:val="77"/>
        <w:rPr>
          <w:highlight w:val="none"/>
        </w:rPr>
      </w:pPr>
      <w:r>
        <w:rPr>
          <w:highlight w:val="none"/>
        </w:rPr>
        <w:t>-</w:t>
      </w:r>
      <w:r>
        <w:rPr>
          <w:highlight w:val="none"/>
        </w:rPr>
        <w:tab/>
      </w:r>
      <w:r>
        <w:rPr>
          <w:highlight w:val="none"/>
        </w:rPr>
        <w:t>Maximum Message Size: This attribute defines the maximum size to be expected.</w:t>
      </w:r>
    </w:p>
    <w:p w14:paraId="7F2C0349">
      <w:pPr>
        <w:pStyle w:val="77"/>
        <w:rPr>
          <w:highlight w:val="none"/>
        </w:rPr>
      </w:pPr>
      <w:r>
        <w:rPr>
          <w:highlight w:val="none"/>
        </w:rPr>
        <w:t>-</w:t>
      </w:r>
      <w:r>
        <w:rPr>
          <w:highlight w:val="none"/>
        </w:rPr>
        <w:tab/>
      </w:r>
      <w:r>
        <w:rPr>
          <w:highlight w:val="none"/>
        </w:rPr>
        <w:t>Data Channel Port: This attribute identifies the port for the Data Channel.</w:t>
      </w:r>
    </w:p>
    <w:p w14:paraId="40D945C6">
      <w:pPr>
        <w:pStyle w:val="77"/>
        <w:rPr>
          <w:highlight w:val="none"/>
        </w:rPr>
      </w:pPr>
      <w:r>
        <w:rPr>
          <w:highlight w:val="none"/>
        </w:rPr>
        <w:t>-</w:t>
      </w:r>
      <w:r>
        <w:rPr>
          <w:highlight w:val="none"/>
        </w:rPr>
        <w:tab/>
      </w:r>
      <w:r>
        <w:rPr>
          <w:highlight w:val="none"/>
        </w:rPr>
        <w:t>Security Setup: This attribute identifies the security setp up of the DTLS connection.</w:t>
      </w:r>
    </w:p>
    <w:p w14:paraId="65BD6B6C">
      <w:pPr>
        <w:pStyle w:val="77"/>
        <w:rPr>
          <w:highlight w:val="none"/>
        </w:rPr>
      </w:pPr>
      <w:r>
        <w:rPr>
          <w:highlight w:val="none"/>
        </w:rPr>
        <w:t>-</w:t>
      </w:r>
      <w:r>
        <w:rPr>
          <w:highlight w:val="none"/>
        </w:rPr>
        <w:tab/>
      </w:r>
      <w:r>
        <w:rPr>
          <w:highlight w:val="none"/>
        </w:rPr>
        <w:t>Security Certificate Fingerprint: This attribute identifies the security certificate fingerprint.</w:t>
      </w:r>
    </w:p>
    <w:p w14:paraId="1180894C">
      <w:pPr>
        <w:pStyle w:val="77"/>
        <w:rPr>
          <w:highlight w:val="none"/>
        </w:rPr>
      </w:pPr>
      <w:r>
        <w:rPr>
          <w:highlight w:val="none"/>
        </w:rPr>
        <w:t>-</w:t>
      </w:r>
      <w:r>
        <w:rPr>
          <w:highlight w:val="none"/>
        </w:rPr>
        <w:tab/>
      </w:r>
      <w:r>
        <w:rPr>
          <w:highlight w:val="none"/>
        </w:rPr>
        <w:t>Security Transport Identity: This attribute identifies transport layer identity</w:t>
      </w:r>
    </w:p>
    <w:p w14:paraId="29376ACF">
      <w:pPr>
        <w:pStyle w:val="57"/>
        <w:rPr>
          <w:highlight w:val="none"/>
        </w:rPr>
      </w:pPr>
      <w:r>
        <w:rPr>
          <w:highlight w:val="none"/>
        </w:rPr>
        <w:t>NOTE 3:</w:t>
      </w:r>
      <w:r>
        <w:rPr>
          <w:highlight w:val="none"/>
        </w:rPr>
        <w:tab/>
      </w:r>
      <w:r>
        <w:rPr>
          <w:highlight w:val="none"/>
        </w:rPr>
        <w:t>Some of the above attributes are optional depending on the scenario and proxy configuration.</w:t>
      </w:r>
    </w:p>
    <w:p w14:paraId="5392EB0B">
      <w:pPr>
        <w:pStyle w:val="76"/>
        <w:rPr>
          <w:highlight w:val="none"/>
        </w:rPr>
      </w:pPr>
      <w:r>
        <w:rPr>
          <w:highlight w:val="none"/>
        </w:rPr>
        <w:tab/>
      </w:r>
      <w:r>
        <w:rPr>
          <w:highlight w:val="none"/>
        </w:rPr>
        <w:t>If the Media Function Type is "AR Media Function", then the Media Function Description includes:</w:t>
      </w:r>
    </w:p>
    <w:p w14:paraId="14D32818">
      <w:pPr>
        <w:pStyle w:val="77"/>
        <w:rPr>
          <w:highlight w:val="none"/>
        </w:rPr>
      </w:pPr>
      <w:r>
        <w:rPr>
          <w:highlight w:val="none"/>
        </w:rPr>
        <w:t>-</w:t>
      </w:r>
      <w:r>
        <w:rPr>
          <w:highlight w:val="none"/>
        </w:rPr>
        <w:tab/>
      </w:r>
      <w:r>
        <w:rPr>
          <w:highlight w:val="none"/>
        </w:rPr>
        <w:t>AR Media Specification: Description of additional media specification information needed for AR communication services from application layer, which includes:</w:t>
      </w:r>
    </w:p>
    <w:p w14:paraId="08FC9D57">
      <w:pPr>
        <w:pStyle w:val="78"/>
        <w:rPr>
          <w:highlight w:val="none"/>
        </w:rPr>
      </w:pPr>
      <w:r>
        <w:rPr>
          <w:highlight w:val="none"/>
        </w:rPr>
        <w:t>-</w:t>
      </w:r>
      <w:r>
        <w:rPr>
          <w:highlight w:val="none"/>
        </w:rPr>
        <w:tab/>
      </w:r>
      <w:r>
        <w:rPr>
          <w:highlight w:val="none"/>
        </w:rPr>
        <w:t>Media Processing Specification: It specifies the how the media stream should be processed.</w:t>
      </w:r>
    </w:p>
    <w:p w14:paraId="06C989C9">
      <w:pPr>
        <w:pStyle w:val="57"/>
        <w:rPr>
          <w:highlight w:val="none"/>
        </w:rPr>
      </w:pPr>
      <w:r>
        <w:rPr>
          <w:highlight w:val="none"/>
        </w:rPr>
        <w:t>NOTE 4:</w:t>
      </w:r>
      <w:r>
        <w:rPr>
          <w:highlight w:val="none"/>
        </w:rPr>
        <w:tab/>
      </w:r>
      <w:r>
        <w:rPr>
          <w:highlight w:val="none"/>
        </w:rPr>
        <w:t>The detail of Media Processing Specification is defined by SA4 and needs to be further aligned.</w:t>
      </w:r>
    </w:p>
    <w:p w14:paraId="7240E335">
      <w:pPr>
        <w:rPr>
          <w:highlight w:val="none"/>
        </w:rPr>
      </w:pPr>
      <w:r>
        <w:rPr>
          <w:b/>
          <w:bCs/>
          <w:highlight w:val="none"/>
        </w:rPr>
        <w:t>Inputs, Optional:</w:t>
      </w:r>
      <w:r>
        <w:rPr>
          <w:highlight w:val="none"/>
        </w:rPr>
        <w:t xml:space="preserve"> None.</w:t>
      </w:r>
    </w:p>
    <w:p w14:paraId="5558E81C">
      <w:pPr>
        <w:rPr>
          <w:ins w:id="68" w:author="Huawei" w:date="2024-11-05T17:13:00Z"/>
          <w:highlight w:val="none"/>
        </w:rPr>
      </w:pPr>
      <w:ins w:id="69" w:author="Huawei" w:date="2024-11-05T17:13:00Z">
        <w:r>
          <w:rPr>
            <w:b/>
            <w:bCs/>
            <w:highlight w:val="none"/>
          </w:rPr>
          <w:t>Inputs, Conditional:</w:t>
        </w:r>
      </w:ins>
      <w:ins w:id="70" w:author="Huawei" w:date="2024-11-05T17:13:00Z">
        <w:r>
          <w:rPr>
            <w:highlight w:val="none"/>
          </w:rPr>
          <w:t xml:space="preserve"> </w:t>
        </w:r>
      </w:ins>
      <w:ins w:id="71" w:author="CMCC" w:date="2024-11-08T19:08:44Z">
        <w:r>
          <w:rPr>
            <w:highlight w:val="none"/>
          </w:rPr>
          <w:t>Interworking I</w:t>
        </w:r>
      </w:ins>
      <w:ins w:id="72" w:author="CMCC" w:date="2024-11-08T19:08:44Z">
        <w:r>
          <w:rPr>
            <w:highlight w:val="none"/>
            <w:lang w:eastAsia="zh-CN"/>
          </w:rPr>
          <w:t>nstruction</w:t>
        </w:r>
      </w:ins>
      <w:ins w:id="73" w:author="CMCC" w:date="2024-11-08T19:08:44Z">
        <w:r>
          <w:rPr>
            <w:highlight w:val="none"/>
          </w:rPr>
          <w:t>.</w:t>
        </w:r>
      </w:ins>
    </w:p>
    <w:p w14:paraId="556C1589">
      <w:pPr>
        <w:rPr>
          <w:ins w:id="74" w:author="Huawei" w:date="2024-11-05T17:13:00Z"/>
          <w:highlight w:val="none"/>
        </w:rPr>
      </w:pPr>
      <w:ins w:id="75" w:author="CMCC" w:date="2024-11-08T19:08:52Z">
        <w:r>
          <w:rPr>
            <w:highlight w:val="none"/>
          </w:rPr>
          <w:t>Interworking instruction instructs how the DC interworking transcoding should be performed for this session. This parameter is required when the session is an interworking session.</w:t>
        </w:r>
      </w:ins>
    </w:p>
    <w:p w14:paraId="2451B26B">
      <w:pPr>
        <w:rPr>
          <w:highlight w:val="none"/>
        </w:rPr>
      </w:pPr>
      <w:r>
        <w:rPr>
          <w:b/>
          <w:bCs/>
          <w:highlight w:val="none"/>
        </w:rPr>
        <w:t>Outputs, Required:</w:t>
      </w:r>
      <w:r>
        <w:rPr>
          <w:highlight w:val="none"/>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93EBD33">
      <w:pPr>
        <w:rPr>
          <w:highlight w:val="none"/>
        </w:rPr>
      </w:pPr>
      <w:r>
        <w:rPr>
          <w:highlight w:val="none"/>
        </w:rPr>
        <w:t>Media Resource Context ID uniquely identifies the media resources created by the MF. This identity shall be used as reference when updating or deleting the created media resource.</w:t>
      </w:r>
    </w:p>
    <w:p w14:paraId="2061C52B">
      <w:pPr>
        <w:rPr>
          <w:highlight w:val="none"/>
        </w:rPr>
      </w:pPr>
      <w:r>
        <w:rPr>
          <w:highlight w:val="none"/>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B40EE48">
      <w:pPr>
        <w:pStyle w:val="76"/>
        <w:rPr>
          <w:highlight w:val="none"/>
        </w:rPr>
      </w:pPr>
      <w:r>
        <w:rPr>
          <w:highlight w:val="none"/>
        </w:rPr>
        <w:t>-</w:t>
      </w:r>
      <w:r>
        <w:rPr>
          <w:highlight w:val="none"/>
        </w:rPr>
        <w:tab/>
      </w:r>
      <w:r>
        <w:rPr>
          <w:highlight w:val="none"/>
        </w:rPr>
        <w:t>Termination ID: Unique identity allocated by the consumer. The identity shall be used when updating/deleting the Media Termination.</w:t>
      </w:r>
    </w:p>
    <w:p w14:paraId="20FF56BC">
      <w:pPr>
        <w:pStyle w:val="76"/>
        <w:rPr>
          <w:highlight w:val="none"/>
        </w:rPr>
      </w:pPr>
      <w:r>
        <w:rPr>
          <w:highlight w:val="none"/>
        </w:rPr>
        <w:t>-</w:t>
      </w:r>
      <w:r>
        <w:rPr>
          <w:highlight w:val="none"/>
        </w:rPr>
        <w:tab/>
      </w:r>
      <w:r>
        <w:rPr>
          <w:highlight w:val="none"/>
        </w:rPr>
        <w:t>List of Media Stream Descriptor Resource information elements allocated within the media termination. The list will include same number of media streams, in the same order as provided in the request.</w:t>
      </w:r>
    </w:p>
    <w:p w14:paraId="0AA5365B">
      <w:pPr>
        <w:rPr>
          <w:highlight w:val="none"/>
        </w:rPr>
      </w:pPr>
      <w:r>
        <w:rPr>
          <w:highlight w:val="none"/>
        </w:rPr>
        <w:t>Media Stream Descriptor Resource information includes:</w:t>
      </w:r>
    </w:p>
    <w:p w14:paraId="30427030">
      <w:pPr>
        <w:pStyle w:val="76"/>
        <w:rPr>
          <w:highlight w:val="none"/>
        </w:rPr>
      </w:pPr>
      <w:r>
        <w:rPr>
          <w:highlight w:val="none"/>
        </w:rPr>
        <w:t>-</w:t>
      </w:r>
      <w:r>
        <w:rPr>
          <w:highlight w:val="none"/>
        </w:rPr>
        <w:tab/>
      </w:r>
      <w:r>
        <w:rPr>
          <w:highlight w:val="none"/>
        </w:rPr>
        <w:t>Media ID: Unique identity of the media stream within the media context instance allocated by the consumer. This is identical to the Media ID used in the input.</w:t>
      </w:r>
    </w:p>
    <w:p w14:paraId="7DD94821">
      <w:pPr>
        <w:pStyle w:val="76"/>
        <w:rPr>
          <w:highlight w:val="none"/>
        </w:rPr>
      </w:pPr>
      <w:r>
        <w:rPr>
          <w:highlight w:val="none"/>
        </w:rPr>
        <w:t>-</w:t>
      </w:r>
      <w:r>
        <w:rPr>
          <w:highlight w:val="none"/>
        </w:rPr>
        <w:tab/>
      </w:r>
      <w:r>
        <w:rPr>
          <w:highlight w:val="none"/>
        </w:rPr>
        <w:t>Local Mb Specification: Media specification specifying SDP parameters representing the media endpoint of the provider e.g. media stream IP address and port.</w:t>
      </w:r>
    </w:p>
    <w:p w14:paraId="312FB05B">
      <w:pPr>
        <w:pStyle w:val="76"/>
        <w:rPr>
          <w:highlight w:val="none"/>
        </w:rPr>
      </w:pPr>
      <w:r>
        <w:rPr>
          <w:highlight w:val="none"/>
        </w:rPr>
        <w:t>-</w:t>
      </w:r>
      <w:r>
        <w:rPr>
          <w:highlight w:val="none"/>
        </w:rPr>
        <w:tab/>
      </w:r>
      <w:r>
        <w:rPr>
          <w:highlight w:val="none"/>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E2838AD">
      <w:pPr>
        <w:pStyle w:val="76"/>
        <w:rPr>
          <w:highlight w:val="none"/>
        </w:rPr>
      </w:pPr>
      <w:r>
        <w:rPr>
          <w:highlight w:val="none"/>
        </w:rPr>
        <w:t>-</w:t>
      </w:r>
      <w:r>
        <w:rPr>
          <w:highlight w:val="none"/>
        </w:rPr>
        <w:tab/>
      </w:r>
      <w:r>
        <w:rPr>
          <w:highlight w:val="none"/>
        </w:rPr>
        <w:t>MDC1/MDC2 media point information (IP address/port number, etc.) which shall be relayed to the DCSF by the consumer NF.</w:t>
      </w:r>
    </w:p>
    <w:p w14:paraId="13A999B9">
      <w:pPr>
        <w:rPr>
          <w:highlight w:val="none"/>
        </w:rPr>
      </w:pPr>
      <w:r>
        <w:rPr>
          <w:b/>
          <w:bCs/>
          <w:highlight w:val="none"/>
        </w:rPr>
        <w:t>Outputs, Optional:</w:t>
      </w:r>
      <w:r>
        <w:rPr>
          <w:highlight w:val="none"/>
        </w:rPr>
        <w:t xml:space="preserve"> None.</w:t>
      </w:r>
    </w:p>
    <w:p w14:paraId="79A11D42">
      <w:pPr>
        <w:pStyle w:val="5"/>
        <w:rPr>
          <w:highlight w:val="none"/>
        </w:rPr>
      </w:pPr>
      <w:bookmarkStart w:id="8" w:name="_CRAA_2_5_2_3"/>
      <w:bookmarkEnd w:id="8"/>
      <w:bookmarkStart w:id="9" w:name="_Toc177650430"/>
      <w:r>
        <w:rPr>
          <w:highlight w:val="none"/>
        </w:rPr>
        <w:t>AA.2.5.2.3</w:t>
      </w:r>
      <w:r>
        <w:rPr>
          <w:highlight w:val="none"/>
        </w:rPr>
        <w:tab/>
      </w:r>
      <w:r>
        <w:rPr>
          <w:highlight w:val="none"/>
        </w:rPr>
        <w:t>Nmf_MRM_Update service operation</w:t>
      </w:r>
      <w:bookmarkEnd w:id="9"/>
    </w:p>
    <w:p w14:paraId="580A84B3">
      <w:pPr>
        <w:rPr>
          <w:highlight w:val="none"/>
        </w:rPr>
      </w:pPr>
      <w:r>
        <w:rPr>
          <w:b/>
          <w:bCs/>
          <w:highlight w:val="none"/>
        </w:rPr>
        <w:t>Service operation name:</w:t>
      </w:r>
      <w:r>
        <w:rPr>
          <w:highlight w:val="none"/>
        </w:rPr>
        <w:t xml:space="preserve"> Nmf_MRM_Update</w:t>
      </w:r>
    </w:p>
    <w:p w14:paraId="7967C954">
      <w:pPr>
        <w:rPr>
          <w:highlight w:val="none"/>
        </w:rPr>
      </w:pPr>
      <w:r>
        <w:rPr>
          <w:b/>
          <w:bCs/>
          <w:highlight w:val="none"/>
        </w:rPr>
        <w:t>Description:</w:t>
      </w:r>
      <w:r>
        <w:rPr>
          <w:highlight w:val="none"/>
        </w:rPr>
        <w:t xml:space="preserve"> The consumer NF requests the MF to update one or multiple media resources within a specific media resource context. Terminations and/or Media Streams can be added, modified, or deleted within an Update request.</w:t>
      </w:r>
    </w:p>
    <w:p w14:paraId="3C78BE39">
      <w:pPr>
        <w:rPr>
          <w:highlight w:val="none"/>
        </w:rPr>
      </w:pPr>
      <w:r>
        <w:rPr>
          <w:b/>
          <w:bCs/>
          <w:highlight w:val="none"/>
        </w:rPr>
        <w:t>Inputs, Required:</w:t>
      </w:r>
      <w:r>
        <w:rPr>
          <w:highlight w:val="none"/>
        </w:rPr>
        <w:t xml:space="preserve"> Media Resource Context ID, List of Media Termination Descriptors to be updated.</w:t>
      </w:r>
    </w:p>
    <w:p w14:paraId="2C77F815">
      <w:pPr>
        <w:rPr>
          <w:highlight w:val="none"/>
        </w:rPr>
      </w:pPr>
      <w:r>
        <w:rPr>
          <w:highlight w:val="none"/>
        </w:rPr>
        <w:t>Media Resource Context ID specifies the media context resource to be updated.</w:t>
      </w:r>
    </w:p>
    <w:p w14:paraId="69627E5B">
      <w:pPr>
        <w:rPr>
          <w:highlight w:val="none"/>
        </w:rPr>
      </w:pPr>
      <w:r>
        <w:rPr>
          <w:highlight w:val="none"/>
        </w:rPr>
        <w:t>List of Media Termination Descriptors includes one or multiple media terminations impacted by the update request. Each Media Termination Descriptor includes:</w:t>
      </w:r>
    </w:p>
    <w:p w14:paraId="4E60D32E">
      <w:pPr>
        <w:pStyle w:val="76"/>
        <w:rPr>
          <w:highlight w:val="none"/>
        </w:rPr>
      </w:pPr>
      <w:r>
        <w:rPr>
          <w:highlight w:val="none"/>
        </w:rPr>
        <w:t>-</w:t>
      </w:r>
      <w:r>
        <w:rPr>
          <w:highlight w:val="none"/>
        </w:rPr>
        <w:tab/>
      </w:r>
      <w:r>
        <w:rPr>
          <w:highlight w:val="none"/>
        </w:rPr>
        <w:t>Termination ID: A unique identity of the termination within the media context resource. The identity is allocated by the consumer and must be set to value 'null' when adding a termination to a context.</w:t>
      </w:r>
    </w:p>
    <w:p w14:paraId="15AB8ACA">
      <w:pPr>
        <w:pStyle w:val="76"/>
        <w:rPr>
          <w:highlight w:val="none"/>
        </w:rPr>
      </w:pPr>
      <w:r>
        <w:rPr>
          <w:highlight w:val="none"/>
        </w:rPr>
        <w:t>-</w:t>
      </w:r>
      <w:r>
        <w:rPr>
          <w:highlight w:val="none"/>
        </w:rPr>
        <w:tab/>
      </w:r>
      <w:r>
        <w:rPr>
          <w:highlight w:val="none"/>
        </w:rPr>
        <w:t>List of Media Stream Descriptors belonging to the Termination. The complete set of Media Stream Descriptors of a Media Termination must be specified in case a Media Termination is either added or modified. The consumer NF can remove media streams from a Media Termination by omitting the media stream from the list. The list will be set to 'null' when deleting a Media Termination. The detail of this list is identical to the input information in the Nmf_MRM_Create service.</w:t>
      </w:r>
    </w:p>
    <w:p w14:paraId="6CC9339C">
      <w:pPr>
        <w:rPr>
          <w:ins w:id="76" w:author="Huawei" w:date="2024-11-05T17:14:00Z"/>
          <w:highlight w:val="none"/>
        </w:rPr>
      </w:pPr>
      <w:r>
        <w:rPr>
          <w:b/>
          <w:bCs/>
          <w:highlight w:val="none"/>
        </w:rPr>
        <w:t>Inputs, Optional:</w:t>
      </w:r>
      <w:r>
        <w:rPr>
          <w:highlight w:val="none"/>
        </w:rPr>
        <w:t xml:space="preserve"> None.</w:t>
      </w:r>
    </w:p>
    <w:p w14:paraId="5F127FF8">
      <w:pPr>
        <w:rPr>
          <w:ins w:id="77" w:author="Huawei" w:date="2024-11-05T17:14:00Z"/>
          <w:highlight w:val="none"/>
        </w:rPr>
      </w:pPr>
      <w:ins w:id="78" w:author="Huawei" w:date="2024-11-05T17:14:00Z">
        <w:r>
          <w:rPr>
            <w:b/>
            <w:bCs/>
            <w:highlight w:val="none"/>
          </w:rPr>
          <w:t>Inputs, Conditional:</w:t>
        </w:r>
      </w:ins>
      <w:ins w:id="79" w:author="Huawei" w:date="2024-11-05T17:14:00Z">
        <w:r>
          <w:rPr>
            <w:highlight w:val="none"/>
          </w:rPr>
          <w:t xml:space="preserve"> </w:t>
        </w:r>
      </w:ins>
      <w:ins w:id="80" w:author="CMCC" w:date="2024-11-08T19:09:11Z">
        <w:r>
          <w:rPr>
            <w:highlight w:val="none"/>
          </w:rPr>
          <w:t>Interworking I</w:t>
        </w:r>
      </w:ins>
      <w:ins w:id="81" w:author="CMCC" w:date="2024-11-08T19:09:11Z">
        <w:r>
          <w:rPr>
            <w:highlight w:val="none"/>
            <w:lang w:eastAsia="zh-CN"/>
          </w:rPr>
          <w:t>nstruction</w:t>
        </w:r>
      </w:ins>
      <w:ins w:id="82" w:author="CMCC" w:date="2024-11-08T19:09:11Z">
        <w:r>
          <w:rPr>
            <w:highlight w:val="none"/>
          </w:rPr>
          <w:t>.</w:t>
        </w:r>
      </w:ins>
    </w:p>
    <w:p w14:paraId="0F9946F1">
      <w:pPr>
        <w:rPr>
          <w:ins w:id="83" w:author="CMCC" w:date="2024-11-08T19:09:07Z"/>
          <w:highlight w:val="none"/>
        </w:rPr>
      </w:pPr>
      <w:ins w:id="84" w:author="CMCC" w:date="2024-11-08T19:09:07Z">
        <w:r>
          <w:rPr>
            <w:highlight w:val="none"/>
          </w:rPr>
          <w:t>Interworking instruction instructs how the DC interworking transcoding should be performed for this session. This parameter is required when the session is an interworking session.</w:t>
        </w:r>
      </w:ins>
    </w:p>
    <w:p w14:paraId="3A529E2F">
      <w:pPr>
        <w:rPr>
          <w:highlight w:val="none"/>
        </w:rPr>
      </w:pPr>
      <w:r>
        <w:rPr>
          <w:b/>
          <w:bCs/>
          <w:highlight w:val="none"/>
        </w:rPr>
        <w:t>Outputs, Required:</w:t>
      </w:r>
      <w:r>
        <w:rPr>
          <w:highlight w:val="none"/>
        </w:rPr>
        <w:t xml:space="preserve"> Result indication, List of Media Termination Descriptor Resource information.</w:t>
      </w:r>
    </w:p>
    <w:p w14:paraId="7788A0DA">
      <w:pPr>
        <w:rPr>
          <w:highlight w:val="none"/>
        </w:rPr>
      </w:pPr>
      <w:r>
        <w:rPr>
          <w:highlight w:val="none"/>
        </w:rPr>
        <w:t>List of Media Termination Descriptor Resource information includes one or multiple Media Stream Termination Descriptor Resources allocated. The list will include same number of terminations, in the same order as provided in the request. Each Media Termination Descriptor Resource information includes:</w:t>
      </w:r>
    </w:p>
    <w:p w14:paraId="2C0E53EA">
      <w:pPr>
        <w:pStyle w:val="76"/>
        <w:rPr>
          <w:highlight w:val="none"/>
        </w:rPr>
      </w:pPr>
      <w:r>
        <w:rPr>
          <w:highlight w:val="none"/>
        </w:rPr>
        <w:t>-</w:t>
      </w:r>
      <w:r>
        <w:rPr>
          <w:highlight w:val="none"/>
        </w:rPr>
        <w:tab/>
      </w:r>
      <w:r>
        <w:rPr>
          <w:highlight w:val="none"/>
        </w:rPr>
        <w:t>Termination ID: A unique identity of the termination within the media context resource. The identity is allocated by the consumer.</w:t>
      </w:r>
    </w:p>
    <w:p w14:paraId="48A036D0">
      <w:pPr>
        <w:pStyle w:val="76"/>
        <w:rPr>
          <w:highlight w:val="none"/>
        </w:rPr>
      </w:pPr>
      <w:r>
        <w:rPr>
          <w:highlight w:val="none"/>
        </w:rPr>
        <w:t>-</w:t>
      </w:r>
      <w:r>
        <w:rPr>
          <w:highlight w:val="none"/>
        </w:rPr>
        <w:tab/>
      </w:r>
      <w:r>
        <w:rPr>
          <w:highlight w:val="none"/>
        </w:rPr>
        <w:t>List of Media Stream Descriptor Resource information elements allocated/updated within the media termination. The list will include same number of media streams, in the same order as provided in the request. The list will be set to 'null' when deleting a Media Termination. The detail of this list is identical to the output information in the Nmf_MRM_Create service.</w:t>
      </w:r>
    </w:p>
    <w:p w14:paraId="2C33692B">
      <w:pPr>
        <w:pStyle w:val="76"/>
        <w:ind w:left="0" w:firstLine="0"/>
        <w:rPr>
          <w:highlight w:val="none"/>
          <w:lang w:eastAsia="zh-CN"/>
        </w:rPr>
      </w:pPr>
      <w:r>
        <w:rPr>
          <w:b/>
          <w:bCs/>
          <w:highlight w:val="none"/>
        </w:rPr>
        <w:t>Outputs, Optional:</w:t>
      </w:r>
      <w:r>
        <w:rPr>
          <w:highlight w:val="none"/>
        </w:rPr>
        <w:t xml:space="preserve"> None.</w:t>
      </w:r>
    </w:p>
    <w:p w14:paraId="14718A1B">
      <w:pPr>
        <w:pStyle w:val="76"/>
        <w:ind w:left="0" w:firstLine="0"/>
        <w:rPr>
          <w:ins w:id="85" w:author="Xueqian Bai" w:date="2024-08-07T18:20:00Z"/>
          <w:highlight w:val="none"/>
          <w:lang w:eastAsia="zh-CN"/>
        </w:rPr>
      </w:pPr>
    </w:p>
    <w:bookmarkEnd w:id="2"/>
    <w:p w14:paraId="0F137A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eastAsia="zh-CN"/>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 xml:space="preserve">End of changes </w:t>
      </w:r>
      <w:r>
        <w:rPr>
          <w:rFonts w:ascii="Arial" w:hAnsi="Arial" w:cs="Arial"/>
          <w:color w:val="FF0000"/>
          <w:sz w:val="28"/>
          <w:szCs w:val="28"/>
          <w:highlight w:val="none"/>
          <w:lang w:val="en-US"/>
        </w:rPr>
        <w:t>* * * *</w:t>
      </w:r>
    </w:p>
    <w:p w14:paraId="41E1CBBB">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C6D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CF13A">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D3879">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1557E">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Huawei">
    <w15:presenceInfo w15:providerId="None" w15:userId="Huawei"/>
  </w15:person>
  <w15:person w15:author="JY">
    <w15:presenceInfo w15:providerId="None" w15:userId="JY"/>
  </w15:person>
  <w15:person w15:author="Xueqian Bai">
    <w15:presenceInfo w15:providerId="None" w15:userId="Xueqian Ba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72A27"/>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DDB"/>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D5506"/>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46C6D"/>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1330404"/>
    <w:rsid w:val="01682423"/>
    <w:rsid w:val="01D14E0A"/>
    <w:rsid w:val="01FC7E4D"/>
    <w:rsid w:val="02F6136A"/>
    <w:rsid w:val="037C4E46"/>
    <w:rsid w:val="0389415C"/>
    <w:rsid w:val="04085DFC"/>
    <w:rsid w:val="0460093C"/>
    <w:rsid w:val="05E53FBB"/>
    <w:rsid w:val="064B71E3"/>
    <w:rsid w:val="06775734"/>
    <w:rsid w:val="06945058"/>
    <w:rsid w:val="06AE5C02"/>
    <w:rsid w:val="06EB5A67"/>
    <w:rsid w:val="077D4FD6"/>
    <w:rsid w:val="078E5270"/>
    <w:rsid w:val="07C40FCD"/>
    <w:rsid w:val="07D91E6C"/>
    <w:rsid w:val="09020655"/>
    <w:rsid w:val="091E4702"/>
    <w:rsid w:val="092C729B"/>
    <w:rsid w:val="0A665D1E"/>
    <w:rsid w:val="0BB743C6"/>
    <w:rsid w:val="0CE31935"/>
    <w:rsid w:val="0CE74AB8"/>
    <w:rsid w:val="0CFD24DF"/>
    <w:rsid w:val="0DED1DE7"/>
    <w:rsid w:val="0DF2282E"/>
    <w:rsid w:val="0E265444"/>
    <w:rsid w:val="0E4C5684"/>
    <w:rsid w:val="0E6A4C34"/>
    <w:rsid w:val="0E7A4ECE"/>
    <w:rsid w:val="0EA74A99"/>
    <w:rsid w:val="0EA97F9C"/>
    <w:rsid w:val="0EAD0BA0"/>
    <w:rsid w:val="101B23FC"/>
    <w:rsid w:val="1031679E"/>
    <w:rsid w:val="104C2BCB"/>
    <w:rsid w:val="10AC13BA"/>
    <w:rsid w:val="10B14AEE"/>
    <w:rsid w:val="114D3A73"/>
    <w:rsid w:val="116D6526"/>
    <w:rsid w:val="11AB188E"/>
    <w:rsid w:val="11C0052E"/>
    <w:rsid w:val="11CD7844"/>
    <w:rsid w:val="11D413CD"/>
    <w:rsid w:val="12313CE5"/>
    <w:rsid w:val="123A23F6"/>
    <w:rsid w:val="12452986"/>
    <w:rsid w:val="1253551F"/>
    <w:rsid w:val="12576123"/>
    <w:rsid w:val="126122B6"/>
    <w:rsid w:val="12A84C29"/>
    <w:rsid w:val="1324215C"/>
    <w:rsid w:val="138F3C22"/>
    <w:rsid w:val="13BD2572"/>
    <w:rsid w:val="144227CC"/>
    <w:rsid w:val="149A0C5C"/>
    <w:rsid w:val="14B8020C"/>
    <w:rsid w:val="14E248D3"/>
    <w:rsid w:val="14ED4E63"/>
    <w:rsid w:val="158D36E7"/>
    <w:rsid w:val="15961DF8"/>
    <w:rsid w:val="15BF51BB"/>
    <w:rsid w:val="16A85139"/>
    <w:rsid w:val="16B40F4B"/>
    <w:rsid w:val="17430BBA"/>
    <w:rsid w:val="17BF5F86"/>
    <w:rsid w:val="17F10953"/>
    <w:rsid w:val="180D3B06"/>
    <w:rsid w:val="1856197C"/>
    <w:rsid w:val="18767CB3"/>
    <w:rsid w:val="18804D3F"/>
    <w:rsid w:val="18A23FFA"/>
    <w:rsid w:val="18B1550E"/>
    <w:rsid w:val="18B36492"/>
    <w:rsid w:val="19237DCB"/>
    <w:rsid w:val="19567321"/>
    <w:rsid w:val="19C340D1"/>
    <w:rsid w:val="1A2D3B01"/>
    <w:rsid w:val="1A3C2A96"/>
    <w:rsid w:val="1B256297"/>
    <w:rsid w:val="1BB42683"/>
    <w:rsid w:val="1D7C63EB"/>
    <w:rsid w:val="1DB530CD"/>
    <w:rsid w:val="1E260E02"/>
    <w:rsid w:val="1E2C078D"/>
    <w:rsid w:val="1EA261CE"/>
    <w:rsid w:val="1F1E3599"/>
    <w:rsid w:val="1F94485C"/>
    <w:rsid w:val="1FA11974"/>
    <w:rsid w:val="1FCE593B"/>
    <w:rsid w:val="1FED10A7"/>
    <w:rsid w:val="20217943"/>
    <w:rsid w:val="2043117D"/>
    <w:rsid w:val="21AC4ECC"/>
    <w:rsid w:val="21DE0F1E"/>
    <w:rsid w:val="223F7CBE"/>
    <w:rsid w:val="22762396"/>
    <w:rsid w:val="22E152C9"/>
    <w:rsid w:val="23110016"/>
    <w:rsid w:val="233C215F"/>
    <w:rsid w:val="23490170"/>
    <w:rsid w:val="239C59FC"/>
    <w:rsid w:val="24044127"/>
    <w:rsid w:val="24182DC7"/>
    <w:rsid w:val="25777D91"/>
    <w:rsid w:val="25DE362C"/>
    <w:rsid w:val="2617288D"/>
    <w:rsid w:val="261A1293"/>
    <w:rsid w:val="26E87362"/>
    <w:rsid w:val="2701248A"/>
    <w:rsid w:val="2808303D"/>
    <w:rsid w:val="282C66F4"/>
    <w:rsid w:val="286E0463"/>
    <w:rsid w:val="28E45EA3"/>
    <w:rsid w:val="28EF7AB7"/>
    <w:rsid w:val="29454C43"/>
    <w:rsid w:val="294D58D2"/>
    <w:rsid w:val="29AB7E6A"/>
    <w:rsid w:val="29CF4BA7"/>
    <w:rsid w:val="29DB2BB8"/>
    <w:rsid w:val="29FA0A8C"/>
    <w:rsid w:val="2A2C16BD"/>
    <w:rsid w:val="2A415DDF"/>
    <w:rsid w:val="2A7A5040"/>
    <w:rsid w:val="2ACB76E7"/>
    <w:rsid w:val="2AD97FF1"/>
    <w:rsid w:val="2B540226"/>
    <w:rsid w:val="2CF92AD5"/>
    <w:rsid w:val="2CF96358"/>
    <w:rsid w:val="2D3D22C5"/>
    <w:rsid w:val="2D4973DC"/>
    <w:rsid w:val="2E277CC4"/>
    <w:rsid w:val="2E6F393B"/>
    <w:rsid w:val="2EA31A5D"/>
    <w:rsid w:val="2EB021A6"/>
    <w:rsid w:val="2EC1793A"/>
    <w:rsid w:val="2F366E9E"/>
    <w:rsid w:val="2FB51A54"/>
    <w:rsid w:val="2FE62223"/>
    <w:rsid w:val="30260A8E"/>
    <w:rsid w:val="308220A2"/>
    <w:rsid w:val="30C86099"/>
    <w:rsid w:val="31231C2B"/>
    <w:rsid w:val="31511475"/>
    <w:rsid w:val="31696B1C"/>
    <w:rsid w:val="317A00BB"/>
    <w:rsid w:val="32265FD5"/>
    <w:rsid w:val="32300AE3"/>
    <w:rsid w:val="328E2276"/>
    <w:rsid w:val="32CF5169"/>
    <w:rsid w:val="32F36623"/>
    <w:rsid w:val="33D56C16"/>
    <w:rsid w:val="342B1BA3"/>
    <w:rsid w:val="3468528B"/>
    <w:rsid w:val="34744F01"/>
    <w:rsid w:val="34797724"/>
    <w:rsid w:val="34881F3C"/>
    <w:rsid w:val="34D73340"/>
    <w:rsid w:val="34E003CD"/>
    <w:rsid w:val="34E96ADE"/>
    <w:rsid w:val="35006703"/>
    <w:rsid w:val="352A7547"/>
    <w:rsid w:val="35941175"/>
    <w:rsid w:val="35A70196"/>
    <w:rsid w:val="35A74912"/>
    <w:rsid w:val="35D905E4"/>
    <w:rsid w:val="35F67F15"/>
    <w:rsid w:val="362A4EEC"/>
    <w:rsid w:val="368C5E8A"/>
    <w:rsid w:val="36C64D6A"/>
    <w:rsid w:val="36FA64BE"/>
    <w:rsid w:val="37160A8C"/>
    <w:rsid w:val="37684573"/>
    <w:rsid w:val="376F7781"/>
    <w:rsid w:val="379E4A4D"/>
    <w:rsid w:val="38E928FC"/>
    <w:rsid w:val="39741150"/>
    <w:rsid w:val="39D3116A"/>
    <w:rsid w:val="3A63685A"/>
    <w:rsid w:val="3B261E1B"/>
    <w:rsid w:val="3B5E66F2"/>
    <w:rsid w:val="3B62097B"/>
    <w:rsid w:val="3B6B3809"/>
    <w:rsid w:val="3BAC4273"/>
    <w:rsid w:val="3BEC505C"/>
    <w:rsid w:val="3BF16F66"/>
    <w:rsid w:val="3C1B5BAC"/>
    <w:rsid w:val="3C464471"/>
    <w:rsid w:val="3CED2681"/>
    <w:rsid w:val="3D6C09D0"/>
    <w:rsid w:val="3D793569"/>
    <w:rsid w:val="3DC36E61"/>
    <w:rsid w:val="3DEC6D80"/>
    <w:rsid w:val="3DFB47FD"/>
    <w:rsid w:val="3E4A5E40"/>
    <w:rsid w:val="3E7D3CD2"/>
    <w:rsid w:val="3F314E39"/>
    <w:rsid w:val="3F3E414F"/>
    <w:rsid w:val="3F4418DB"/>
    <w:rsid w:val="3F8E0A56"/>
    <w:rsid w:val="3FE171DB"/>
    <w:rsid w:val="402569CB"/>
    <w:rsid w:val="402A08D4"/>
    <w:rsid w:val="408908EE"/>
    <w:rsid w:val="40CB4BDA"/>
    <w:rsid w:val="40F01597"/>
    <w:rsid w:val="420958E7"/>
    <w:rsid w:val="425D3A13"/>
    <w:rsid w:val="42FB4E6F"/>
    <w:rsid w:val="43656A9D"/>
    <w:rsid w:val="440234A3"/>
    <w:rsid w:val="4412373D"/>
    <w:rsid w:val="441D624B"/>
    <w:rsid w:val="446753C6"/>
    <w:rsid w:val="44726FDA"/>
    <w:rsid w:val="44950494"/>
    <w:rsid w:val="44C84166"/>
    <w:rsid w:val="453A6A23"/>
    <w:rsid w:val="454D7C42"/>
    <w:rsid w:val="459A44BE"/>
    <w:rsid w:val="45FE1FE4"/>
    <w:rsid w:val="461C7016"/>
    <w:rsid w:val="46383AEA"/>
    <w:rsid w:val="46860C43"/>
    <w:rsid w:val="47012B0C"/>
    <w:rsid w:val="471517AC"/>
    <w:rsid w:val="47613E2A"/>
    <w:rsid w:val="4857563B"/>
    <w:rsid w:val="487B728A"/>
    <w:rsid w:val="48E2521F"/>
    <w:rsid w:val="4954425A"/>
    <w:rsid w:val="49670CFC"/>
    <w:rsid w:val="498502AC"/>
    <w:rsid w:val="49A21DDA"/>
    <w:rsid w:val="4A0343FD"/>
    <w:rsid w:val="4A18309E"/>
    <w:rsid w:val="4A641E98"/>
    <w:rsid w:val="4ABD2AE4"/>
    <w:rsid w:val="4B4A0E91"/>
    <w:rsid w:val="4B8F3B84"/>
    <w:rsid w:val="4B92038C"/>
    <w:rsid w:val="4B990BE2"/>
    <w:rsid w:val="4BEB1E51"/>
    <w:rsid w:val="4C4D2043"/>
    <w:rsid w:val="4C781903"/>
    <w:rsid w:val="4CA45C4B"/>
    <w:rsid w:val="4D1C7E93"/>
    <w:rsid w:val="4D1D2091"/>
    <w:rsid w:val="4D2D012D"/>
    <w:rsid w:val="4D3F38CB"/>
    <w:rsid w:val="4D606AE9"/>
    <w:rsid w:val="4D70409A"/>
    <w:rsid w:val="4DA37D6C"/>
    <w:rsid w:val="4DD51840"/>
    <w:rsid w:val="4DF11170"/>
    <w:rsid w:val="4E1A6AB1"/>
    <w:rsid w:val="4E264AC2"/>
    <w:rsid w:val="4E4740FD"/>
    <w:rsid w:val="4E8770E5"/>
    <w:rsid w:val="4EB71E32"/>
    <w:rsid w:val="4EE151F5"/>
    <w:rsid w:val="4EF8069D"/>
    <w:rsid w:val="4F493920"/>
    <w:rsid w:val="4FA17831"/>
    <w:rsid w:val="4FA230B5"/>
    <w:rsid w:val="4FA407B6"/>
    <w:rsid w:val="50AE22ED"/>
    <w:rsid w:val="50E67EC9"/>
    <w:rsid w:val="511E38A6"/>
    <w:rsid w:val="517F6DC2"/>
    <w:rsid w:val="51877A52"/>
    <w:rsid w:val="5199085C"/>
    <w:rsid w:val="51AE1E90"/>
    <w:rsid w:val="52000615"/>
    <w:rsid w:val="52152B39"/>
    <w:rsid w:val="52BE1CCD"/>
    <w:rsid w:val="52CB3561"/>
    <w:rsid w:val="52EE281C"/>
    <w:rsid w:val="53E57531"/>
    <w:rsid w:val="540E7263"/>
    <w:rsid w:val="54417C4B"/>
    <w:rsid w:val="545D5EF6"/>
    <w:rsid w:val="5474391D"/>
    <w:rsid w:val="54AF027F"/>
    <w:rsid w:val="54E95ADA"/>
    <w:rsid w:val="55344AA7"/>
    <w:rsid w:val="55B13325"/>
    <w:rsid w:val="56490020"/>
    <w:rsid w:val="566E49DC"/>
    <w:rsid w:val="56CA5FF0"/>
    <w:rsid w:val="56F4320A"/>
    <w:rsid w:val="573E3DB0"/>
    <w:rsid w:val="58504F0F"/>
    <w:rsid w:val="58717625"/>
    <w:rsid w:val="58E80569"/>
    <w:rsid w:val="59471C07"/>
    <w:rsid w:val="59DA6BF7"/>
    <w:rsid w:val="5A6052B9"/>
    <w:rsid w:val="5B3B553A"/>
    <w:rsid w:val="5B5E4130"/>
    <w:rsid w:val="5BAC6AF2"/>
    <w:rsid w:val="5BCF1086"/>
    <w:rsid w:val="5C6C36AD"/>
    <w:rsid w:val="5CAB6A15"/>
    <w:rsid w:val="5CDF5BEB"/>
    <w:rsid w:val="5D535812"/>
    <w:rsid w:val="5DE24514"/>
    <w:rsid w:val="5DE97722"/>
    <w:rsid w:val="5E83629B"/>
    <w:rsid w:val="5E9E26C8"/>
    <w:rsid w:val="5F5159EF"/>
    <w:rsid w:val="5F8E5854"/>
    <w:rsid w:val="60052F14"/>
    <w:rsid w:val="606964BC"/>
    <w:rsid w:val="60983788"/>
    <w:rsid w:val="61B54E59"/>
    <w:rsid w:val="62736511"/>
    <w:rsid w:val="62943029"/>
    <w:rsid w:val="62BB2188"/>
    <w:rsid w:val="62C97DCC"/>
    <w:rsid w:val="63222E31"/>
    <w:rsid w:val="636F54AF"/>
    <w:rsid w:val="63CE45CF"/>
    <w:rsid w:val="64B322C3"/>
    <w:rsid w:val="64D53AFD"/>
    <w:rsid w:val="64E25391"/>
    <w:rsid w:val="6570177D"/>
    <w:rsid w:val="65791819"/>
    <w:rsid w:val="65923EB0"/>
    <w:rsid w:val="66613222"/>
    <w:rsid w:val="6697375D"/>
    <w:rsid w:val="67C038AA"/>
    <w:rsid w:val="682B15F5"/>
    <w:rsid w:val="68601941"/>
    <w:rsid w:val="68710A65"/>
    <w:rsid w:val="68BB3463"/>
    <w:rsid w:val="691050EB"/>
    <w:rsid w:val="69787099"/>
    <w:rsid w:val="699A724E"/>
    <w:rsid w:val="69D07728"/>
    <w:rsid w:val="6A410CE0"/>
    <w:rsid w:val="6A563204"/>
    <w:rsid w:val="6A726E0D"/>
    <w:rsid w:val="6A8C58DC"/>
    <w:rsid w:val="6AB56AA1"/>
    <w:rsid w:val="6B8270EE"/>
    <w:rsid w:val="6BCD3CEA"/>
    <w:rsid w:val="6BD858FE"/>
    <w:rsid w:val="6BE33C8F"/>
    <w:rsid w:val="6C4B4758"/>
    <w:rsid w:val="6C5B76B3"/>
    <w:rsid w:val="6D7840A3"/>
    <w:rsid w:val="6E3F1345"/>
    <w:rsid w:val="6E45347A"/>
    <w:rsid w:val="6F7E447B"/>
    <w:rsid w:val="6FA66539"/>
    <w:rsid w:val="6FE55124"/>
    <w:rsid w:val="705D6067"/>
    <w:rsid w:val="70734988"/>
    <w:rsid w:val="709F4552"/>
    <w:rsid w:val="70D50A94"/>
    <w:rsid w:val="713B7C54"/>
    <w:rsid w:val="713C56D6"/>
    <w:rsid w:val="71602412"/>
    <w:rsid w:val="71733631"/>
    <w:rsid w:val="7198476A"/>
    <w:rsid w:val="71F72585"/>
    <w:rsid w:val="72B64F42"/>
    <w:rsid w:val="73515FA1"/>
    <w:rsid w:val="7383558F"/>
    <w:rsid w:val="738A4F1A"/>
    <w:rsid w:val="73C36379"/>
    <w:rsid w:val="73C62B81"/>
    <w:rsid w:val="744124CA"/>
    <w:rsid w:val="74524963"/>
    <w:rsid w:val="745820F0"/>
    <w:rsid w:val="746A200A"/>
    <w:rsid w:val="74722C9A"/>
    <w:rsid w:val="754F6E04"/>
    <w:rsid w:val="75653527"/>
    <w:rsid w:val="75BB3F35"/>
    <w:rsid w:val="76622145"/>
    <w:rsid w:val="7665694D"/>
    <w:rsid w:val="769B7323"/>
    <w:rsid w:val="76AD6D41"/>
    <w:rsid w:val="773A7C2A"/>
    <w:rsid w:val="783F74D7"/>
    <w:rsid w:val="78540376"/>
    <w:rsid w:val="786C12A0"/>
    <w:rsid w:val="787F24BF"/>
    <w:rsid w:val="78D16A46"/>
    <w:rsid w:val="78F353ED"/>
    <w:rsid w:val="79882CF2"/>
    <w:rsid w:val="79ED0498"/>
    <w:rsid w:val="79F964A8"/>
    <w:rsid w:val="7A2463F3"/>
    <w:rsid w:val="7A5C074B"/>
    <w:rsid w:val="7A5C3FCF"/>
    <w:rsid w:val="7AC8587C"/>
    <w:rsid w:val="7BC4481A"/>
    <w:rsid w:val="7BF043E5"/>
    <w:rsid w:val="7C45606D"/>
    <w:rsid w:val="7C6F6241"/>
    <w:rsid w:val="7C743857"/>
    <w:rsid w:val="7C7D1A4A"/>
    <w:rsid w:val="7D083FA0"/>
    <w:rsid w:val="7D1A4DCC"/>
    <w:rsid w:val="7DE26D93"/>
    <w:rsid w:val="7E071551"/>
    <w:rsid w:val="7ECB2594"/>
    <w:rsid w:val="7FB65A15"/>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basedOn w:val="1"/>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27"/>
    <w:link w:val="84"/>
    <w:qFormat/>
    <w:uiPriority w:val="0"/>
  </w:style>
  <w:style w:type="paragraph" w:customStyle="1" w:styleId="77">
    <w:name w:val="B2"/>
    <w:basedOn w:val="28"/>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标题 3 字符"/>
    <w:basedOn w:val="12"/>
    <w:link w:val="4"/>
    <w:qFormat/>
    <w:uiPriority w:val="0"/>
    <w:rPr>
      <w:rFonts w:ascii="Arial" w:hAnsi="Arial"/>
      <w:sz w:val="2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标题 4 字符"/>
    <w:basedOn w:val="12"/>
    <w:link w:val="5"/>
    <w:qFormat/>
    <w:uiPriority w:val="0"/>
    <w:rPr>
      <w:rFonts w:ascii="Arial" w:hAnsi="Arial"/>
      <w:sz w:val="24"/>
      <w:lang w:val="en-GB" w:eastAsia="en-US"/>
    </w:rPr>
  </w:style>
  <w:style w:type="character" w:customStyle="1" w:styleId="91">
    <w:name w:val="标题 2 字符"/>
    <w:basedOn w:val="12"/>
    <w:link w:val="3"/>
    <w:qFormat/>
    <w:uiPriority w:val="0"/>
    <w:rPr>
      <w:rFonts w:ascii="Arial" w:hAnsi="Arial"/>
      <w:sz w:val="32"/>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NO Char"/>
    <w:qFormat/>
    <w:uiPriority w:val="0"/>
  </w:style>
  <w:style w:type="paragraph" w:customStyle="1" w:styleId="94">
    <w:name w:val="修订1"/>
    <w:hidden/>
    <w:semiHidden/>
    <w:qFormat/>
    <w:uiPriority w:val="99"/>
    <w:rPr>
      <w:rFonts w:ascii="Times New Roman" w:hAnsi="Times New Roman" w:cs="Times New Roman" w:eastAsiaTheme="minorEastAsia"/>
      <w:lang w:val="en-GB" w:eastAsia="en-US" w:bidi="ar-SA"/>
    </w:rPr>
  </w:style>
  <w:style w:type="character" w:customStyle="1" w:styleId="95">
    <w:name w:val="标题 1 字符"/>
    <w:basedOn w:val="12"/>
    <w:link w:val="2"/>
    <w:qFormat/>
    <w:uiPriority w:val="0"/>
    <w:rPr>
      <w:rFonts w:ascii="Arial" w:hAnsi="Arial"/>
      <w:sz w:val="36"/>
      <w:lang w:val="en-GB" w:eastAsia="en-US"/>
    </w:rPr>
  </w:style>
  <w:style w:type="paragraph" w:styleId="9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1.bin"/><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E0D2-37CA-4D26-B768-3BBCC45E6144}">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10</Pages>
  <Words>1651</Words>
  <Characters>9417</Characters>
  <Lines>78</Lines>
  <Paragraphs>22</Paragraphs>
  <TotalTime>1</TotalTime>
  <ScaleCrop>false</ScaleCrop>
  <LinksUpToDate>false</LinksUpToDate>
  <CharactersWithSpaces>11046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2411-12-31T15:59:00Z</cp:lastPrinted>
  <dcterms:modified xsi:type="dcterms:W3CDTF">2024-11-08T22:03:17Z</dcterms:modified>
  <dc:title>MTG_TITLE</dc:title>
  <cp:revision>537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KSOProductBuildVer">
    <vt:lpwstr>1033-12.2.0.18607</vt:lpwstr>
  </property>
  <property fmtid="{D5CDD505-2E9C-101B-9397-08002B2CF9AE}" pid="25" name="ICV">
    <vt:lpwstr>A4F7D9B05BA645A3AF30D5E516FDB832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1727915971</vt:lpwstr>
  </property>
</Properties>
</file>